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PROYECTO INTEGRADOR</w:t>
      </w:r>
    </w:p>
    <w:p>
      <w:pPr>
        <w:jc w:val="center"/>
      </w:pPr>
      <w:r>
        <w:rPr>
          <w:b/>
          <w:color w:val="123F6D"/>
          <w:sz w:val="40"/>
        </w:rPr>
        <w:t>Análisis económico, financiero e ingeniería económica con inteligencia artificial</w:t>
        <w:br/>
        <w:t>Holcim Ecuador S.A.</w:t>
      </w:r>
    </w:p>
    <w:p>
      <w:pPr>
        <w:jc w:val="center"/>
      </w:pPr>
      <w:r>
        <w:t>Decisión evaluada: inversión solar fotovoltaica de 5 MWp con almacenamiento de 4 MWh en la planta de molienda de Latacunga.</w:t>
      </w:r>
    </w:p>
    <w:p>
      <w:pPr>
        <w:jc w:val="center"/>
      </w:pPr>
      <w:r>
        <w:t>Autor: ____________________    Curso: ____________________    Fecha: Julio 2026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rPr>
          <w:b w:val="0"/>
        </w:rPr>
        <w:t>El proyecto evalúa si Holcim Ecuador debe invertir en un sistema solar fotovoltaico con batería para reducir costos energéticos y exposición a cortes eléctricos. Con los supuestos académicos definidos, el escenario base genera un VAN de USD 1,022,527, una TIR de 13.29%, una relación beneficio/costo de 1.168, payback simple de 6.38 años y payback descontado de 11.68 años. La recomendación es aceptar condicionadamente, debido a que el resultado depende de validar tres datos críticos: CAPEX real, generación/autoconsumo y costo monetario de interrupciones operativas.</w:t>
      </w:r>
    </w:p>
    <w:p>
      <w:pPr>
        <w:pStyle w:val="Heading1"/>
      </w:pPr>
      <w:r>
        <w:t>Planteamiento del desafío</w:t>
      </w:r>
    </w:p>
    <w:p>
      <w:r>
        <w:rPr>
          <w:b w:val="0"/>
        </w:rPr>
        <w:t>Holcim Ecuador opera en el sector de materiales de construcción, con producción y comercialización de cemento, concreto, agregados y soluciones para construcción. La empresa reporta una planta integrada de cemento en Guayaquil y una planta de molienda de cemento en Latacunga. El desafío se formula así: ¿es económica y financieramente viable instalar una solución solar con almacenamiento en Latacunga, financiada con deuda y patrimonio, para disminuir el costo de energía y elevar la continuidad operativa?</w:t>
      </w:r>
    </w:p>
    <w:p>
      <w:pPr>
        <w:pStyle w:val="Heading1"/>
      </w:pPr>
      <w:r>
        <w:t>Objetivos</w:t>
      </w:r>
    </w:p>
    <w:p>
      <w:r>
        <w:rPr>
          <w:b w:val="0"/>
        </w:rPr>
        <w:t>Objetivo general: evaluar la viabilidad económica y financiera de la inversión solar con almacenamiento mediante diagnóstico financiero, flujo de caja, WACC, VAN, TIR, relación beneficio/costo, sensibilidad, valoración empresarial y análisis de riesgos. Objetivos específicos: caracterizar la situación financiera 2023-2025; estimar flujos del proyecto; comparar financiamiento; medir riesgos; y formular una recomendación técnicamente sustentada.</w:t>
      </w:r>
    </w:p>
    <w:p>
      <w:pPr>
        <w:pStyle w:val="Heading1"/>
      </w:pPr>
      <w:r>
        <w:t>Descripción de los datos</w:t>
      </w:r>
    </w:p>
    <w:p>
      <w:r>
        <w:rPr>
          <w:b w:val="0"/>
        </w:rPr>
        <w:t>Los estados financieros 2023, 2024 y 2025 son datos reales tomados de reportes financieros de Holcim Ecuador. Los datos técnicos del proyecto, como CAPEX, capacidad solar, batería, tarifa evitada y ahorro por continuidad, son supuestos académicos explícitos porque no existe una cotización pública específica para esta inversión.</w:t>
      </w:r>
    </w:p>
    <w:p>
      <w:pPr>
        <w:pStyle w:val="Heading1"/>
      </w:pPr>
      <w:r>
        <w:t>Metodología</w:t>
      </w:r>
    </w:p>
    <w:p>
      <w:r>
        <w:rPr>
          <w:b w:val="0"/>
        </w:rPr>
        <w:t>Se aplicó un enfoque cuantitativo y explicativo. Primero se calculó diagnóstico financiero con razones de liquidez, endeudamiento, rentabilidad, cobertura de intereses y DuPont. Después se construyó un flujo de caja incremental del proyecto a 15 años. El costo de capital combina deuda después de impuestos y costo del patrimonio. Finalmente se realizó análisis de escenarios, sensibilidad y matriz de riesgos.</w:t>
      </w:r>
    </w:p>
    <w:p>
      <w:pPr>
        <w:pStyle w:val="Heading1"/>
      </w:pPr>
      <w:r>
        <w:t>Análisis económico y financiero</w:t>
      </w:r>
    </w:p>
    <w:p>
      <w:r>
        <w:rPr>
          <w:b w:val="0"/>
        </w:rPr>
        <w:t>Holcim Ecuador reportó ventas de USD 342,511 miles en 2023, USD 316,989 miles en 2024 y USD 384,625 miles en 2025. La utilidad neta fue USD 95,322 miles en 2023, USD 77,872 miles en 2024 y USD 84,959 miles en 2025. El crecimiento de ventas de 2025 recupera la caída de 2024, pero el margen operacional baja frente a años anteriores por el mayor peso de costos y gastos operativos.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23F6D"/>
          </w:tcPr>
          <w:p>
            <w:r>
              <w:rPr>
                <w:b/>
                <w:color w:val="FFFFFF"/>
              </w:rPr>
              <w:t>Cuenta (USD miles)</w:t>
            </w:r>
          </w:p>
        </w:tc>
        <w:tc>
          <w:tcPr>
            <w:tcW w:type="dxa" w:w="2520"/>
            <w:shd w:fill="123F6D"/>
          </w:tcPr>
          <w:p>
            <w:r>
              <w:rPr>
                <w:b/>
                <w:color w:val="FFFFFF"/>
              </w:rPr>
              <w:t>2023</w:t>
            </w:r>
          </w:p>
        </w:tc>
        <w:tc>
          <w:tcPr>
            <w:tcW w:type="dxa" w:w="2520"/>
            <w:shd w:fill="123F6D"/>
          </w:tcPr>
          <w:p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520"/>
            <w:shd w:fill="123F6D"/>
          </w:tcPr>
          <w:p>
            <w:r>
              <w:rPr>
                <w:b/>
                <w:color w:val="FFFFFF"/>
              </w:rPr>
              <w:t>2025</w:t>
            </w:r>
          </w:p>
        </w:tc>
      </w:tr>
      <w:tr>
        <w:tc>
          <w:tcPr>
            <w:tcW w:type="dxa" w:w="2520"/>
            <w:vAlign w:val="center"/>
          </w:tcPr>
          <w:p>
            <w:r>
              <w:t>Ventas</w:t>
            </w:r>
          </w:p>
        </w:tc>
        <w:tc>
          <w:tcPr>
            <w:tcW w:type="dxa" w:w="2520"/>
            <w:vAlign w:val="center"/>
          </w:tcPr>
          <w:p>
            <w:r>
              <w:t>342,511</w:t>
            </w:r>
          </w:p>
        </w:tc>
        <w:tc>
          <w:tcPr>
            <w:tcW w:type="dxa" w:w="2520"/>
            <w:vAlign w:val="center"/>
          </w:tcPr>
          <w:p>
            <w:r>
              <w:t>316,989</w:t>
            </w:r>
          </w:p>
        </w:tc>
        <w:tc>
          <w:tcPr>
            <w:tcW w:type="dxa" w:w="2520"/>
            <w:vAlign w:val="center"/>
          </w:tcPr>
          <w:p>
            <w:r>
              <w:t>384,625</w:t>
            </w:r>
          </w:p>
        </w:tc>
      </w:tr>
      <w:tr>
        <w:tc>
          <w:tcPr>
            <w:tcW w:type="dxa" w:w="2520"/>
            <w:vAlign w:val="center"/>
          </w:tcPr>
          <w:p>
            <w:r>
              <w:t>EBIT</w:t>
            </w:r>
          </w:p>
        </w:tc>
        <w:tc>
          <w:tcPr>
            <w:tcW w:type="dxa" w:w="2520"/>
            <w:vAlign w:val="center"/>
          </w:tcPr>
          <w:p>
            <w:r>
              <w:t>85,266</w:t>
            </w:r>
          </w:p>
        </w:tc>
        <w:tc>
          <w:tcPr>
            <w:tcW w:type="dxa" w:w="2520"/>
            <w:vAlign w:val="center"/>
          </w:tcPr>
          <w:p>
            <w:r>
              <w:t>79,355</w:t>
            </w:r>
          </w:p>
        </w:tc>
        <w:tc>
          <w:tcPr>
            <w:tcW w:type="dxa" w:w="2520"/>
            <w:vAlign w:val="center"/>
          </w:tcPr>
          <w:p>
            <w:r>
              <w:t>77,311</w:t>
            </w:r>
          </w:p>
        </w:tc>
      </w:tr>
      <w:tr>
        <w:tc>
          <w:tcPr>
            <w:tcW w:type="dxa" w:w="2520"/>
            <w:vAlign w:val="center"/>
          </w:tcPr>
          <w:p>
            <w:r>
              <w:t>Utilidad neta</w:t>
            </w:r>
          </w:p>
        </w:tc>
        <w:tc>
          <w:tcPr>
            <w:tcW w:type="dxa" w:w="2520"/>
            <w:vAlign w:val="center"/>
          </w:tcPr>
          <w:p>
            <w:r>
              <w:t>95,322</w:t>
            </w:r>
          </w:p>
        </w:tc>
        <w:tc>
          <w:tcPr>
            <w:tcW w:type="dxa" w:w="2520"/>
            <w:vAlign w:val="center"/>
          </w:tcPr>
          <w:p>
            <w:r>
              <w:t>77,872</w:t>
            </w:r>
          </w:p>
        </w:tc>
        <w:tc>
          <w:tcPr>
            <w:tcW w:type="dxa" w:w="2520"/>
            <w:vAlign w:val="center"/>
          </w:tcPr>
          <w:p>
            <w:r>
              <w:t>84,959</w:t>
            </w:r>
          </w:p>
        </w:tc>
      </w:tr>
      <w:tr>
        <w:tc>
          <w:tcPr>
            <w:tcW w:type="dxa" w:w="2520"/>
            <w:vAlign w:val="center"/>
          </w:tcPr>
          <w:p>
            <w:r>
              <w:t>Activos totales</w:t>
            </w:r>
          </w:p>
        </w:tc>
        <w:tc>
          <w:tcPr>
            <w:tcW w:type="dxa" w:w="2520"/>
            <w:vAlign w:val="center"/>
          </w:tcPr>
          <w:p>
            <w:r>
              <w:t>549,983</w:t>
            </w:r>
          </w:p>
        </w:tc>
        <w:tc>
          <w:tcPr>
            <w:tcW w:type="dxa" w:w="2520"/>
            <w:vAlign w:val="center"/>
          </w:tcPr>
          <w:p>
            <w:r>
              <w:t>529,952</w:t>
            </w:r>
          </w:p>
        </w:tc>
        <w:tc>
          <w:tcPr>
            <w:tcW w:type="dxa" w:w="2520"/>
            <w:vAlign w:val="center"/>
          </w:tcPr>
          <w:p>
            <w:r>
              <w:t>524,167</w:t>
            </w:r>
          </w:p>
        </w:tc>
      </w:tr>
      <w:tr>
        <w:tc>
          <w:tcPr>
            <w:tcW w:type="dxa" w:w="2520"/>
            <w:vAlign w:val="center"/>
          </w:tcPr>
          <w:p>
            <w:r>
              <w:t>Patrimonio</w:t>
            </w:r>
          </w:p>
        </w:tc>
        <w:tc>
          <w:tcPr>
            <w:tcW w:type="dxa" w:w="2520"/>
            <w:vAlign w:val="center"/>
          </w:tcPr>
          <w:p>
            <w:r>
              <w:t>330,292</w:t>
            </w:r>
          </w:p>
        </w:tc>
        <w:tc>
          <w:tcPr>
            <w:tcW w:type="dxa" w:w="2520"/>
            <w:vAlign w:val="center"/>
          </w:tcPr>
          <w:p>
            <w:r>
              <w:t>379,435</w:t>
            </w:r>
          </w:p>
        </w:tc>
        <w:tc>
          <w:tcPr>
            <w:tcW w:type="dxa" w:w="2520"/>
            <w:vAlign w:val="center"/>
          </w:tcPr>
          <w:p>
            <w:r>
              <w:t>315,783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3082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empeno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El diagnóstico muestra liquidez corriente inferior a 1 en los tres años, por lo que el financiamiento no debe presionar caja de corto plazo. El endeudamiento total se mantiene manejable, pero aumentó en 2025 frente a 2024. La cobertura de intereses continúa alta, lo que permite evaluar deuda de largo plazo si la cuota anual es compatible con los flujos del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23F6D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520"/>
            <w:shd w:fill="123F6D"/>
          </w:tcPr>
          <w:p>
            <w:r>
              <w:rPr>
                <w:b/>
                <w:color w:val="FFFFFF"/>
              </w:rPr>
              <w:t>2023</w:t>
            </w:r>
          </w:p>
        </w:tc>
        <w:tc>
          <w:tcPr>
            <w:tcW w:type="dxa" w:w="2520"/>
            <w:shd w:fill="123F6D"/>
          </w:tcPr>
          <w:p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520"/>
            <w:shd w:fill="123F6D"/>
          </w:tcPr>
          <w:p>
            <w:r>
              <w:rPr>
                <w:b/>
                <w:color w:val="FFFFFF"/>
              </w:rPr>
              <w:t>2025</w:t>
            </w:r>
          </w:p>
        </w:tc>
      </w:tr>
      <w:tr>
        <w:tc>
          <w:tcPr>
            <w:tcW w:type="dxa" w:w="2520"/>
            <w:vAlign w:val="center"/>
          </w:tcPr>
          <w:p>
            <w:r>
              <w:t>Razón corriente</w:t>
            </w:r>
          </w:p>
        </w:tc>
        <w:tc>
          <w:tcPr>
            <w:tcW w:type="dxa" w:w="2520"/>
            <w:vAlign w:val="center"/>
          </w:tcPr>
          <w:p>
            <w:r>
              <w:t>0.55</w:t>
            </w:r>
          </w:p>
        </w:tc>
        <w:tc>
          <w:tcPr>
            <w:tcW w:type="dxa" w:w="2520"/>
            <w:vAlign w:val="center"/>
          </w:tcPr>
          <w:p>
            <w:r>
              <w:t>0.72</w:t>
            </w:r>
          </w:p>
        </w:tc>
        <w:tc>
          <w:tcPr>
            <w:tcW w:type="dxa" w:w="2520"/>
            <w:vAlign w:val="center"/>
          </w:tcPr>
          <w:p>
            <w:r>
              <w:t>0.54</w:t>
            </w:r>
          </w:p>
        </w:tc>
      </w:tr>
      <w:tr>
        <w:tc>
          <w:tcPr>
            <w:tcW w:type="dxa" w:w="2520"/>
            <w:vAlign w:val="center"/>
          </w:tcPr>
          <w:p>
            <w:r>
              <w:t>Endeudamiento</w:t>
            </w:r>
          </w:p>
        </w:tc>
        <w:tc>
          <w:tcPr>
            <w:tcW w:type="dxa" w:w="2520"/>
            <w:vAlign w:val="center"/>
          </w:tcPr>
          <w:p>
            <w:r>
              <w:t>39.9%</w:t>
            </w:r>
          </w:p>
        </w:tc>
        <w:tc>
          <w:tcPr>
            <w:tcW w:type="dxa" w:w="2520"/>
            <w:vAlign w:val="center"/>
          </w:tcPr>
          <w:p>
            <w:r>
              <w:t>28.4%</w:t>
            </w:r>
          </w:p>
        </w:tc>
        <w:tc>
          <w:tcPr>
            <w:tcW w:type="dxa" w:w="2520"/>
            <w:vAlign w:val="center"/>
          </w:tcPr>
          <w:p>
            <w:r>
              <w:t>39.8%</w:t>
            </w:r>
          </w:p>
        </w:tc>
      </w:tr>
      <w:tr>
        <w:tc>
          <w:tcPr>
            <w:tcW w:type="dxa" w:w="2520"/>
            <w:vAlign w:val="center"/>
          </w:tcPr>
          <w:p>
            <w:r>
              <w:t>Margen operacional</w:t>
            </w:r>
          </w:p>
        </w:tc>
        <w:tc>
          <w:tcPr>
            <w:tcW w:type="dxa" w:w="2520"/>
            <w:vAlign w:val="center"/>
          </w:tcPr>
          <w:p>
            <w:r>
              <w:t>24.9%</w:t>
            </w:r>
          </w:p>
        </w:tc>
        <w:tc>
          <w:tcPr>
            <w:tcW w:type="dxa" w:w="2520"/>
            <w:vAlign w:val="center"/>
          </w:tcPr>
          <w:p>
            <w:r>
              <w:t>25.0%</w:t>
            </w:r>
          </w:p>
        </w:tc>
        <w:tc>
          <w:tcPr>
            <w:tcW w:type="dxa" w:w="2520"/>
            <w:vAlign w:val="center"/>
          </w:tcPr>
          <w:p>
            <w:r>
              <w:t>20.1%</w:t>
            </w:r>
          </w:p>
        </w:tc>
      </w:tr>
      <w:tr>
        <w:tc>
          <w:tcPr>
            <w:tcW w:type="dxa" w:w="2520"/>
            <w:vAlign w:val="center"/>
          </w:tcPr>
          <w:p>
            <w:r>
              <w:t>ROA</w:t>
            </w:r>
          </w:p>
        </w:tc>
        <w:tc>
          <w:tcPr>
            <w:tcW w:type="dxa" w:w="2520"/>
            <w:vAlign w:val="center"/>
          </w:tcPr>
          <w:p>
            <w:r>
              <w:t>17.3%</w:t>
            </w:r>
          </w:p>
        </w:tc>
        <w:tc>
          <w:tcPr>
            <w:tcW w:type="dxa" w:w="2520"/>
            <w:vAlign w:val="center"/>
          </w:tcPr>
          <w:p>
            <w:r>
              <w:t>14.4%</w:t>
            </w:r>
          </w:p>
        </w:tc>
        <w:tc>
          <w:tcPr>
            <w:tcW w:type="dxa" w:w="2520"/>
            <w:vAlign w:val="center"/>
          </w:tcPr>
          <w:p>
            <w:r>
              <w:t>16.1%</w:t>
            </w:r>
          </w:p>
        </w:tc>
      </w:tr>
      <w:tr>
        <w:tc>
          <w:tcPr>
            <w:tcW w:type="dxa" w:w="2520"/>
            <w:vAlign w:val="center"/>
          </w:tcPr>
          <w:p>
            <w:r>
              <w:t>ROE</w:t>
            </w:r>
          </w:p>
        </w:tc>
        <w:tc>
          <w:tcPr>
            <w:tcW w:type="dxa" w:w="2520"/>
            <w:vAlign w:val="center"/>
          </w:tcPr>
          <w:p>
            <w:r>
              <w:t>28.9%</w:t>
            </w:r>
          </w:p>
        </w:tc>
        <w:tc>
          <w:tcPr>
            <w:tcW w:type="dxa" w:w="2520"/>
            <w:vAlign w:val="center"/>
          </w:tcPr>
          <w:p>
            <w:r>
              <w:t>21.9%</w:t>
            </w:r>
          </w:p>
        </w:tc>
        <w:tc>
          <w:tcPr>
            <w:tcW w:type="dxa" w:w="2520"/>
            <w:vAlign w:val="center"/>
          </w:tcPr>
          <w:p>
            <w:r>
              <w:t>24.4%</w:t>
            </w:r>
          </w:p>
        </w:tc>
      </w:tr>
      <w:tr>
        <w:tc>
          <w:tcPr>
            <w:tcW w:type="dxa" w:w="2520"/>
            <w:vAlign w:val="center"/>
          </w:tcPr>
          <w:p>
            <w:r>
              <w:t>Cobertura intereses</w:t>
            </w:r>
          </w:p>
        </w:tc>
        <w:tc>
          <w:tcPr>
            <w:tcW w:type="dxa" w:w="2520"/>
            <w:vAlign w:val="center"/>
          </w:tcPr>
          <w:p>
            <w:r>
              <w:t>28.8x</w:t>
            </w:r>
          </w:p>
        </w:tc>
        <w:tc>
          <w:tcPr>
            <w:tcW w:type="dxa" w:w="2520"/>
            <w:vAlign w:val="center"/>
          </w:tcPr>
          <w:p>
            <w:r>
              <w:t>17.6x</w:t>
            </w:r>
          </w:p>
        </w:tc>
        <w:tc>
          <w:tcPr>
            <w:tcW w:type="dxa" w:w="2520"/>
            <w:vAlign w:val="center"/>
          </w:tcPr>
          <w:p>
            <w:r>
              <w:t>34.7x</w:t>
            </w:r>
          </w:p>
        </w:tc>
      </w:tr>
    </w:tbl>
    <w:p>
      <w:pPr>
        <w:pStyle w:val="Heading1"/>
      </w:pPr>
      <w:r>
        <w:t>Fuentes de financiamiento y WACC</w:t>
      </w:r>
    </w:p>
    <w:p>
      <w:r>
        <w:rPr>
          <w:b w:val="0"/>
        </w:rPr>
        <w:t>Se compararon dos alternativas: A) 70% deuda a 10 años y 30% patrimonio; B) 60% deuda a 7 años y 40% patrimonio. Se recomienda la alternativa A porque alinea mejor plazo de deuda con vida útil del activo, reduce aporte inicial y aprovecha una tasa corporativa de referencia. El WACC base usado es 10,50%.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3F6D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5040"/>
            <w:shd w:fill="123F6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5040"/>
            <w:vAlign w:val="center"/>
          </w:tcPr>
          <w:p>
            <w:r>
              <w:t>Inversión total</w:t>
            </w:r>
          </w:p>
        </w:tc>
        <w:tc>
          <w:tcPr>
            <w:tcW w:type="dxa" w:w="5040"/>
            <w:vAlign w:val="center"/>
          </w:tcPr>
          <w:p>
            <w:r>
              <w:t>USD 6,080,000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Deuda propuesta</w:t>
            </w:r>
          </w:p>
        </w:tc>
        <w:tc>
          <w:tcPr>
            <w:tcW w:type="dxa" w:w="5040"/>
            <w:vAlign w:val="center"/>
          </w:tcPr>
          <w:p>
            <w:r>
              <w:t>70%</w:t>
            </w:r>
          </w:p>
        </w:tc>
      </w:tr>
      <w:tr>
        <w:tc>
          <w:tcPr>
            <w:tcW w:type="dxa" w:w="5040"/>
            <w:vAlign w:val="center"/>
          </w:tcPr>
          <w:p>
            <w:r>
              <w:t>Patrimonio propuesto</w:t>
            </w:r>
          </w:p>
        </w:tc>
        <w:tc>
          <w:tcPr>
            <w:tcW w:type="dxa" w:w="5040"/>
            <w:vAlign w:val="center"/>
          </w:tcPr>
          <w:p>
            <w:r>
              <w:t>30%</w:t>
            </w:r>
          </w:p>
        </w:tc>
      </w:tr>
      <w:tr>
        <w:tc>
          <w:tcPr>
            <w:tcW w:type="dxa" w:w="5040"/>
            <w:vAlign w:val="center"/>
          </w:tcPr>
          <w:p>
            <w:r>
              <w:t>Costo deuda antes de impuestos</w:t>
            </w:r>
          </w:p>
        </w:tc>
        <w:tc>
          <w:tcPr>
            <w:tcW w:type="dxa" w:w="5040"/>
            <w:vAlign w:val="center"/>
          </w:tcPr>
          <w:p>
            <w:r>
              <w:t>7.89%</w:t>
            </w:r>
          </w:p>
        </w:tc>
      </w:tr>
      <w:tr>
        <w:tc>
          <w:tcPr>
            <w:tcW w:type="dxa" w:w="5040"/>
            <w:vAlign w:val="center"/>
          </w:tcPr>
          <w:p>
            <w:r>
              <w:t>Costo patrimonio</w:t>
            </w:r>
          </w:p>
        </w:tc>
        <w:tc>
          <w:tcPr>
            <w:tcW w:type="dxa" w:w="5040"/>
            <w:vAlign w:val="center"/>
          </w:tcPr>
          <w:p>
            <w:r>
              <w:t>21.19%</w:t>
            </w:r>
          </w:p>
        </w:tc>
      </w:tr>
      <w:tr>
        <w:tc>
          <w:tcPr>
            <w:tcW w:type="dxa" w:w="5040"/>
            <w:vAlign w:val="center"/>
          </w:tcPr>
          <w:p>
            <w:r>
              <w:t>WACC</w:t>
            </w:r>
          </w:p>
        </w:tc>
        <w:tc>
          <w:tcPr>
            <w:tcW w:type="dxa" w:w="5040"/>
            <w:vAlign w:val="center"/>
          </w:tcPr>
          <w:p>
            <w:r>
              <w:t>10.50%</w:t>
            </w:r>
          </w:p>
        </w:tc>
      </w:tr>
    </w:tbl>
    <w:p>
      <w:pPr>
        <w:pStyle w:val="Heading1"/>
      </w:pPr>
      <w:r>
        <w:t>Flujo de caja e ingeniería económica</w:t>
      </w:r>
    </w:p>
    <w:p>
      <w:r>
        <w:rPr>
          <w:b w:val="0"/>
        </w:rPr>
        <w:t>El flujo de caja libre incluye inversión inicial, ahorro por energía autoconsumida, ahorro por continuidad operativa, costos de operación y mantenimiento, impuestos, reposición parcial de batería en el año 9 y valor residual al año 15. El proyecto se acepta en el escenario base porque el VAN es positivo, la TIR supera el WACC y la relación beneficio/costo es superior a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3F6D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5040"/>
            <w:shd w:fill="123F6D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VAN</w:t>
            </w:r>
          </w:p>
        </w:tc>
        <w:tc>
          <w:tcPr>
            <w:tcW w:type="dxa" w:w="5040"/>
            <w:vAlign w:val="center"/>
          </w:tcPr>
          <w:p>
            <w:r>
              <w:t>USD 1,022,527</w:t>
            </w:r>
          </w:p>
        </w:tc>
      </w:tr>
      <w:tr>
        <w:tc>
          <w:tcPr>
            <w:tcW w:type="dxa" w:w="5040"/>
            <w:vAlign w:val="center"/>
          </w:tcPr>
          <w:p>
            <w:r>
              <w:t>TIR</w:t>
            </w:r>
          </w:p>
        </w:tc>
        <w:tc>
          <w:tcPr>
            <w:tcW w:type="dxa" w:w="5040"/>
            <w:vAlign w:val="center"/>
          </w:tcPr>
          <w:p>
            <w:r>
              <w:t>13.29%</w:t>
            </w:r>
          </w:p>
        </w:tc>
      </w:tr>
      <w:tr>
        <w:tc>
          <w:tcPr>
            <w:tcW w:type="dxa" w:w="5040"/>
            <w:vAlign w:val="center"/>
          </w:tcPr>
          <w:p>
            <w:r>
              <w:t>B/C</w:t>
            </w:r>
          </w:p>
        </w:tc>
        <w:tc>
          <w:tcPr>
            <w:tcW w:type="dxa" w:w="5040"/>
            <w:vAlign w:val="center"/>
          </w:tcPr>
          <w:p>
            <w:r>
              <w:t>1.168</w:t>
            </w:r>
          </w:p>
        </w:tc>
      </w:tr>
      <w:tr>
        <w:tc>
          <w:tcPr>
            <w:tcW w:type="dxa" w:w="5040"/>
            <w:vAlign w:val="center"/>
          </w:tcPr>
          <w:p>
            <w:r>
              <w:t>Payback simple</w:t>
            </w:r>
          </w:p>
        </w:tc>
        <w:tc>
          <w:tcPr>
            <w:tcW w:type="dxa" w:w="5040"/>
            <w:vAlign w:val="center"/>
          </w:tcPr>
          <w:p>
            <w:r>
              <w:t>6.38 años</w:t>
            </w:r>
          </w:p>
        </w:tc>
      </w:tr>
      <w:tr>
        <w:tc>
          <w:tcPr>
            <w:tcW w:type="dxa" w:w="5040"/>
            <w:vAlign w:val="center"/>
          </w:tcPr>
          <w:p>
            <w:r>
              <w:t>Payback descontado</w:t>
            </w:r>
          </w:p>
        </w:tc>
        <w:tc>
          <w:tcPr>
            <w:tcW w:type="dxa" w:w="5040"/>
            <w:vAlign w:val="center"/>
          </w:tcPr>
          <w:p>
            <w:r>
              <w:t>11.68 años</w:t>
            </w:r>
          </w:p>
        </w:tc>
      </w:tr>
      <w:tr>
        <w:tc>
          <w:tcPr>
            <w:tcW w:type="dxa" w:w="5040"/>
            <w:vAlign w:val="center"/>
          </w:tcPr>
          <w:p>
            <w:r>
              <w:t>Decisión</w:t>
            </w:r>
          </w:p>
        </w:tc>
        <w:tc>
          <w:tcPr>
            <w:tcW w:type="dxa" w:w="5040"/>
            <w:vAlign w:val="center"/>
          </w:tcPr>
          <w:p>
            <w:r>
              <w:t>Aceptar condicionadamente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3082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proyec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Escenarios y sensibilidad</w:t>
      </w:r>
    </w:p>
    <w:p>
      <w:r>
        <w:rPr>
          <w:b w:val="0"/>
        </w:rPr>
        <w:t>La inversión es sensible a la tarifa evitada, al ahorro por continuidad y al CAPEX. En escenario optimista el VAN sube a USD 3.49 millones; en escenario base se mantiene positivo; y en escenario pesimista cae a USD -1.98 millones. Esto demuestra que la decisión necesita validación técnica y comercial antes de ejecutarse.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23F6D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2016"/>
            <w:shd w:fill="123F6D"/>
          </w:tcPr>
          <w:p>
            <w:r>
              <w:rPr>
                <w:b/>
                <w:color w:val="FFFFFF"/>
              </w:rPr>
              <w:t>VAN</w:t>
            </w:r>
          </w:p>
        </w:tc>
        <w:tc>
          <w:tcPr>
            <w:tcW w:type="dxa" w:w="2016"/>
            <w:shd w:fill="123F6D"/>
          </w:tcPr>
          <w:p>
            <w:r>
              <w:rPr>
                <w:b/>
                <w:color w:val="FFFFFF"/>
              </w:rPr>
              <w:t>TIR</w:t>
            </w:r>
          </w:p>
        </w:tc>
        <w:tc>
          <w:tcPr>
            <w:tcW w:type="dxa" w:w="2016"/>
            <w:shd w:fill="123F6D"/>
          </w:tcPr>
          <w:p>
            <w:r>
              <w:rPr>
                <w:b/>
                <w:color w:val="FFFFFF"/>
              </w:rPr>
              <w:t>B/C</w:t>
            </w:r>
          </w:p>
        </w:tc>
        <w:tc>
          <w:tcPr>
            <w:tcW w:type="dxa" w:w="2016"/>
            <w:shd w:fill="123F6D"/>
          </w:tcPr>
          <w:p>
            <w:r>
              <w:rPr>
                <w:b/>
                <w:color w:val="FFFFFF"/>
              </w:rPr>
              <w:t>Decisión</w:t>
            </w:r>
          </w:p>
        </w:tc>
      </w:tr>
      <w:tr>
        <w:tc>
          <w:tcPr>
            <w:tcW w:type="dxa" w:w="2016"/>
            <w:vAlign w:val="center"/>
          </w:tcPr>
          <w:p>
            <w:r>
              <w:t>Optimista</w:t>
            </w:r>
          </w:p>
        </w:tc>
        <w:tc>
          <w:tcPr>
            <w:tcW w:type="dxa" w:w="2016"/>
            <w:vAlign w:val="center"/>
          </w:tcPr>
          <w:p>
            <w:r>
              <w:t>USD 3,491,393</w:t>
            </w:r>
          </w:p>
        </w:tc>
        <w:tc>
          <w:tcPr>
            <w:tcW w:type="dxa" w:w="2016"/>
            <w:vAlign w:val="center"/>
          </w:tcPr>
          <w:p>
            <w:r>
              <w:t>18.55%</w:t>
            </w:r>
          </w:p>
        </w:tc>
        <w:tc>
          <w:tcPr>
            <w:tcW w:type="dxa" w:w="2016"/>
            <w:vAlign w:val="center"/>
          </w:tcPr>
          <w:p>
            <w:r>
              <w:t>1.604</w:t>
            </w:r>
          </w:p>
        </w:tc>
        <w:tc>
          <w:tcPr>
            <w:tcW w:type="dxa" w:w="2016"/>
            <w:vAlign w:val="center"/>
          </w:tcPr>
          <w:p>
            <w:r>
              <w:t>Aceptar</w:t>
            </w:r>
          </w:p>
        </w:tc>
      </w:tr>
      <w:tr>
        <w:tc>
          <w:tcPr>
            <w:tcW w:type="dxa" w:w="2016"/>
            <w:vAlign w:val="center"/>
          </w:tcPr>
          <w:p>
            <w:r>
              <w:t>Base</w:t>
            </w:r>
          </w:p>
        </w:tc>
        <w:tc>
          <w:tcPr>
            <w:tcW w:type="dxa" w:w="2016"/>
            <w:vAlign w:val="center"/>
          </w:tcPr>
          <w:p>
            <w:r>
              <w:t>USD 1,022,527</w:t>
            </w:r>
          </w:p>
        </w:tc>
        <w:tc>
          <w:tcPr>
            <w:tcW w:type="dxa" w:w="2016"/>
            <w:vAlign w:val="center"/>
          </w:tcPr>
          <w:p>
            <w:r>
              <w:t>13.29%</w:t>
            </w:r>
          </w:p>
        </w:tc>
        <w:tc>
          <w:tcPr>
            <w:tcW w:type="dxa" w:w="2016"/>
            <w:vAlign w:val="center"/>
          </w:tcPr>
          <w:p>
            <w:r>
              <w:t>1.168</w:t>
            </w:r>
          </w:p>
        </w:tc>
        <w:tc>
          <w:tcPr>
            <w:tcW w:type="dxa" w:w="2016"/>
            <w:vAlign w:val="center"/>
          </w:tcPr>
          <w:p>
            <w:r>
              <w:t>Aceptar condicionadamente</w:t>
            </w:r>
          </w:p>
        </w:tc>
      </w:tr>
      <w:tr>
        <w:tc>
          <w:tcPr>
            <w:tcW w:type="dxa" w:w="2016"/>
            <w:vAlign w:val="center"/>
          </w:tcPr>
          <w:p>
            <w:r>
              <w:t>Pesimista</w:t>
            </w:r>
          </w:p>
        </w:tc>
        <w:tc>
          <w:tcPr>
            <w:tcW w:type="dxa" w:w="2016"/>
            <w:vAlign w:val="center"/>
          </w:tcPr>
          <w:p>
            <w:r>
              <w:t>USD -1,982,420</w:t>
            </w:r>
          </w:p>
        </w:tc>
        <w:tc>
          <w:tcPr>
            <w:tcW w:type="dxa" w:w="2016"/>
            <w:vAlign w:val="center"/>
          </w:tcPr>
          <w:p>
            <w:r>
              <w:t>6.23%</w:t>
            </w:r>
          </w:p>
        </w:tc>
        <w:tc>
          <w:tcPr>
            <w:tcW w:type="dxa" w:w="2016"/>
            <w:vAlign w:val="center"/>
          </w:tcPr>
          <w:p>
            <w:r>
              <w:t>0.711</w:t>
            </w:r>
          </w:p>
        </w:tc>
        <w:tc>
          <w:tcPr>
            <w:tcW w:type="dxa" w:w="2016"/>
            <w:vAlign w:val="center"/>
          </w:tcPr>
          <w:p>
            <w:r>
              <w:t>Rechazar / reformular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30828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n_escenar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Valoración empresarial</w:t>
      </w:r>
    </w:p>
    <w:p>
      <w:r>
        <w:rPr>
          <w:b w:val="0"/>
        </w:rPr>
        <w:t>Como método principal se aplica flujo de caja descontado al FCFF normalizado. Como contraste se usa el patrimonio contable 2025. Esta valoración es académica; no representa precio de mercado ni una oferta de compra. Su función es mostrar cómo los flujos futuros y el costo de capital afectan el valor estimado.</w:t>
      </w:r>
    </w:p>
    <w:p>
      <w:pPr>
        <w:pStyle w:val="Heading1"/>
      </w:pPr>
      <w:r>
        <w:t>Dividendos y reinversión</w:t>
      </w:r>
    </w:p>
    <w:p>
      <w:r>
        <w:rPr>
          <w:b w:val="0"/>
        </w:rPr>
        <w:t>En 2025 se propone distribuir 30% de la utilidad del ejercicio, equivalente a USD 25.4 millones. Para el proyecto, la política más conveniente es reinvertir parte de excedentes y financiar la inversión con deuda de largo plazo, evitando debilitar la liquidez corriente.</w:t>
      </w:r>
    </w:p>
    <w:p>
      <w:pPr>
        <w:pStyle w:val="Heading1"/>
      </w:pPr>
      <w:r>
        <w:t>Control corporativo</w:t>
      </w:r>
    </w:p>
    <w:p>
      <w:r>
        <w:rPr>
          <w:b w:val="0"/>
        </w:rPr>
        <w:t>Holcim Ecuador tiene estructura corporativa formal, junta de accionistas, reportes anuales y mecanismos de rendición de cuentas. Para esta inversión se propone crear un comité de seguimiento con Finanzas, Operaciones, Legal y Sostenibilidad, con hitos de aprobación: cotización EPC, estudio solar, contrato de financiamiento, permisos y auditoría del ahorro real.</w:t>
      </w:r>
    </w:p>
    <w:p>
      <w:pPr>
        <w:pStyle w:val="Heading1"/>
      </w:pPr>
      <w:r>
        <w:t>Análisis de riesgos</w:t>
      </w:r>
    </w:p>
    <w:p>
      <w:r>
        <w:rPr>
          <w:b w:val="0"/>
        </w:rPr>
        <w:t>El riesgo más crítico es sobreestimar el ahorro por continuidad operativa. También importan CAPEX, generación real, autoconsumo, tasa de crédito y costo de reposición de batería. La mitigación principal consiste en validar datos con cotizaciones y mediciones reales.</w:t>
      </w:r>
    </w:p>
    <w:p>
      <w:r>
        <w:drawing>
          <wp:inline xmlns:a="http://schemas.openxmlformats.org/drawingml/2006/main" xmlns:pic="http://schemas.openxmlformats.org/drawingml/2006/picture">
            <wp:extent cx="5394960" cy="30828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riesg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Resultados y recomendación</w:t>
      </w:r>
    </w:p>
    <w:p>
      <w:r>
        <w:rPr>
          <w:b w:val="0"/>
        </w:rPr>
        <w:t>La recomendación final es aceptar condicionadamente. La inversión crea valor en el escenario base, pero la aprobación debe quedar sujeta a: una cotización EPC formal; un estudio de irradiación, generación y autoconsumo; confirmación de tarifa eléctrica y costo de interrupciones; y aprobación de financiamiento bancario de largo plazo. Si cualquiera de estos puntos reduce el ahorro esperado al nivel pesimista, el proyecto debe reformularse.</w:t>
      </w:r>
    </w:p>
    <w:p>
      <w:pPr>
        <w:pStyle w:val="Heading1"/>
      </w:pPr>
      <w:r>
        <w:t>Limitaciones</w:t>
      </w:r>
    </w:p>
    <w:p>
      <w:r>
        <w:rPr>
          <w:b w:val="0"/>
        </w:rPr>
        <w:t>El modelo no sustituye ingeniería de detalle ni cotización real. La información técnica del sistema solar y batería es académica. La tasa de deuda es referencial. El análisis no incluye beneficios ambientales monetizados ni créditos de carbono. La valoración empresarial es una aproximación académica.</w:t>
      </w:r>
    </w:p>
    <w:p>
      <w:pPr>
        <w:pStyle w:val="Heading1"/>
      </w:pPr>
      <w:r>
        <w:t>Referencias</w:t>
      </w:r>
    </w:p>
    <w:p>
      <w:r>
        <w:t>Holcim Ecuador. Reporte financiero 2025 - Holcim Ecuador S.A. https://www.holcim.com.ec/accionistas</w:t>
      </w:r>
    </w:p>
    <w:p>
      <w:r>
        <w:t>Holcim Ecuador. Reporte financiero 2024 - Holcim Ecuador S.A. https://www.holcim.com.ec/accionistas</w:t>
      </w:r>
    </w:p>
    <w:p>
      <w:r>
        <w:t>Holcim Ecuador. Reporte financiero 2023 - Holcim Ecuador S.A. https://www.holcim.com.ec/accionistas</w:t>
      </w:r>
    </w:p>
    <w:p>
      <w:r>
        <w:t>Banco Central del Ecuador. Tasas de interés activas efectivas. https://contenido.bce.fin.ec/documentos/Estadisticas/SectorMonFin/TasasInteres/Indice.htm</w:t>
      </w:r>
    </w:p>
    <w:p>
      <w:r>
        <w:t>Guía del proyecto integrador entregada por el docente.</w:t>
      </w:r>
    </w:p>
    <w:p>
      <w:pPr>
        <w:pStyle w:val="Heading1"/>
      </w:pPr>
      <w:r>
        <w:t>Anexos técnicos</w:t>
      </w:r>
    </w:p>
    <w:p>
      <w:r>
        <w:rPr>
          <w:b w:val="0"/>
        </w:rPr>
        <w:t>Anexo A: Modelo financiero Excel. Anexo B: Código de cálculo. Anexo C: Dashboard Next.js. Anexo D: Agentes y evidencias de IA.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F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3F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