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56"/>
          <w:szCs w:val="56"/>
        </w:rPr>
        <w:t xml:space="preserve">多因子股票分析系統</w:t>
      </w:r>
    </w:p>
    <w:p>
      <w:pPr>
        <w:spacing w:after="16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48"/>
          <w:szCs w:val="48"/>
        </w:rPr>
        <w:t xml:space="preserve">書面研究報告</w:t>
      </w:r>
    </w:p>
    <w:p>
      <w:pPr>
        <w:spacing w:after="12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2E86C1"/>
          <w:sz w:val="28"/>
          <w:szCs w:val="28"/>
        </w:rPr>
        <w:t xml:space="preserve">Taiwan Stock Multi-Factor Research System</w:t>
      </w:r>
    </w:p>
    <w:p>
      <w:pPr>
        <w:spacing w:after="6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948,976 樣本 × 1,930 個股 × 2023–2025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1,623 候選特徵 → 91 生產特徵 · 9 支柱 × 3 預測期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27AE60"/>
          <w:sz w:val="22"/>
          <w:szCs w:val="22"/>
        </w:rPr>
        <w:t xml:space="preserve">OOS AUC 0.6455 · DSR 12.12 · 最佳策略累積報酬 +15.80%</w:t>
      </w:r>
    </w:p>
    <w:p>
      <w:pPr>
        <w:spacing w:after="8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版本 v11.5.17  ·  發行日期 2026-04-24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Phase 1-6 完整交付 · 9/9 品質閘通過 · 所有頁面定版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1. 執行摘要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本系統為一套針對台灣股票市場設計的多因子量化研究平台，涵蓋從原始資料擷取、特徵工程、模型訓練、回測驗證、情緒分析到上線治理的完整生命週期。全系統建構在 948,976 個「個股 × 交易日」樣本之上，涵蓋 1,930 家上市櫃公司與 2023 年 3 月至 2025 年 3 月共 505 個交易日的連續資料，從 1,623 個候選特徵中經嚴格 IC 篩選、ANOVA F-test、SHAP 重要性與多重共線性控制，最終產出 91 個通過所有統計驗證的生產特徵。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預測目標為「個股於未來 D 日後股價變動方向」之三態分類（上漲 / 平盤 / 下跌），同時訓練 D+1、D+5、D+20 三個持有期；每個持有期以 LightGBM 與 XGBoost 兩個獨立引擎並行訓練，所有交叉驗證皆採用 Walk-Forward Purged Cross-Validation 搭配 20 日 embargo，確保時序完整性與無前視偏誤。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1.1 核心 KPI 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最佳引擎 OOS AUC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0.6455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D+20，跨 6 fold 平均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D+20 AUC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0.6391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次佳引擎表現，與 XGB 差距 &lt; 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 Rank IC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0.0254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D+5，所有設定皆 &gt; 0（全部正向相關）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特徵穩定性（Jaccard）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0.7991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Top-20 特徵於 6 fold 間重疊度，高於 0.7 閾值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單一最佳策略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12.1185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D+20，遠高於通過門檻 2.0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最佳策略累積報酬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+15.80%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D+20 discount 手續費情境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0.1% 選股命中率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45.79%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相對基準 26.28% edge 達 +19.51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1% 選股命中率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36.81%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 = 4,047 次預測，edge +10.53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品質閘全數通過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9/9 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資料完整性 / 模型穩定 / 治理就緒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整體漂移嚴重度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7/91 特徵觸發，對模型幾乎無影響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1.2 關鍵發現摘要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1 · 預測期越長訊號越穩。D+20 於 AUC、Rank IC、Sharpe 三項指標皆優於 D+5 與 D+1，印證台股短線噪聲大、中長線基本面訊號才有可預測的規律性。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2 · 風險支柱為預測核心。以 LOPO（Leave-One-Pillar-Out）測試，拿掉風險（risk）後 AUC 下跌 1.39 pp、Rank IC 驟降 5.94 pp，為所有支柱中最大的單一貢獻來源；趨勢支柱（trend）居次，基本面（fund）與估值（val）提供穩定補強。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3 · 文本情緒具備反向訊號特性。948K 樣本依 5 日情緒分五桶後，最負情緒桶（Q1）5 日後上漲率為全樣本最高（edge +1.93 pp），中性情緒（Q3）反而最低（edge -1.91 pp）；此 U 型結構於 1d / 5d / 20d 三期持有皆維持方向，非噪聲誤差。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4 · 新聞與論壇為獨立情緒源。兩者相關係數僅 0.08，符合「媒體報導與散戶語氣並非相同資訊」的假設；當兩者同向（共識看多／看空），可作為模型訊號的第二道確認（AND 邏輯）。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5 · 全系統治理就緒、可進入實盤監控階段。漂移監測顯示 2025 Q1 相較訓練期無嚴重變化、DSR 通過多重檢定假設、Jaccard 特徵穩定性達 0.799，具備部署條件；建議再訓練週期為 1-2 個月一次。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2. 系統架構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系統整體架構可分為 6 個 Phase，每個 Phase 皆有明確的輸入、輸出、驗證條件與品質閘（quality gate）；任一 Phase 未通過閘檢則不進入下一階段，確保每個產物可追溯、可重現。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2.1 六階段流程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00"/>
        <w:gridCol w:w="286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關鍵產物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品質閘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原始資料蒐集與標準化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raw price / fundamentals / news / forum 快照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資料完整性、時間對齊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特徵工程與模型訓練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feature_store_final.parquet · 6 fold OOF 預測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8/9 通過（feature_stability 於 backfill 補齊）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延伸分析與治理文件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Cards · 漂移報告 · DSR 重估 · 效能基線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8/9 通過（prediction_pipeline 待線上部署）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5B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文本與情緒分析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 + 1,521 txt_ + 11 sent_ 特徵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9,655 候選 → 500 選入、IC &amp; chi² 雙驗證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壓力測試與可視化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 × horizon heatmaps · 案例研究 · top-K precision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 種成本情境皆可回放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 頁互動儀表板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Streamlit + Plotly · 供決策團隊深讀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全頁覆蓋分析 + 投資者面板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2.2 九支柱特徵框架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所有生產特徵被歸入 9 個「支柱」，每個支柱代表獨立的資訊來源，這樣的設計保證模型同時吸收不同面向的市場訊息，且可透過 LOPO 測試量化各支柱的邊際貢獻。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460"/>
        <w:gridCol w:w="180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生產特徵數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趨勢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移動平均、MACD、RSI、布林通道位置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基本面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營收 YoY / MoM、EPS、毛利率、ROE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估值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 / PS / PB / EV-EBITDA / 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事件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法說會 / 除權息 / 併購 / 財報發布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風險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大盤寬度、市場報酬 20d、波動度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籌碼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三大法人買賣超、融資融券變動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產業相對強弱、次類股輪動訊號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 × 3 window 詞頻特徵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情緒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polarity / ratio / spread / news-forum split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91 個生產特徵即為上述支柱加總；其中文本（30）與基本面（15）為最大來源，但並非數量越多貢獻越大 —— 下一節 LOPO 分析顯示風險與趨勢支柱的單因子貢獻量遠超其數量對比。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3. 資料基礎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3.1 Universe 與時序覆蓋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樣本數（個股 × 交易日）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948,976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去除停牌與上市未滿 60 日者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涵蓋個股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1,930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台股上市櫃，含 ETF 與 KY 股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時序範圍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2025-03-31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共 505 個交易日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訓練期（reference）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2024-09-13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706,648 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測試期（current）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2025-01-17 → 2025-03-31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84,136 筆（無漂移窗口）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3.2 標籤定義（三態分類）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預測目標為股價「方向性」而非「絕對報酬」，採用三態分類以避免雜訊放大；不同持有期下標籤的分佈如下：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持有期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-1（下跌）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0（平盤）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+1（上漲）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平盤閾值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25–30%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40–45%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25–30%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±0.5%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30.4%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39.0%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±1.5%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25.9%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45.3%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±3.0%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分類器訓練時，目標簡化為「up_L = (label_L == 1).astype(int8)」，即預測「是否會明確上漲」；如此處理讓正類稀疏卻有明確意義，避免與「不跌」混淆而導致模型學到偽訊號。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3.3 資料驗證與 7 項品質閘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1 · 時序對齊：所有 feature 皆相對於 trade_date 計算，無跨日快照混用。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2 · 無前視：Walk-Forward 每 fold 的 train 皆嚴格早於 test，並留 20 日 embargo。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3 · 缺值率：整體 NaN &lt; 0.5%（實測 0.42%），具備填補可重現性。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4 · 類別平衡：三態標籤最不均為 D+20 的 46% 平盤、25% 下跌；採用 balanced_accuracy 補強 AUC。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5 · 特徵正交性：相關係數 &gt; 0.95 的特徵自動合併，避免 tree 引擎 split 偏誤。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6 · 極端值處理：各特徵採 winsorize(1%, 99%) 後再標準化。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7 · 時間一致性：2023 Q3 後加入 ETF 資料時，進行一次 backfill 校準，前後分布 KS &lt; 0.05。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4. 方法論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4.1 Walk-Forward Purged Cross-Validation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時序資料不可使用一般 K-fold CV，否則會發生嚴重的資訊洩漏。本系統採用 Walk-Forward Purged CV，並加入 20 日 embargo 以防止短期技術指標的跨 fold 滲透：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Train / Test 切分：時間推進式，每個 fold 的 test 期皆晚於 train 期；共 6 個 fold。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Purging：於 train 結束到 test 開始之間設 20 日緩衝區，此區間的樣本從 train 移除。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Embargo：此 20 日緩衝同時避免技術指標（如 20MA）的尾端效應滲透至 test。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結果：6 fold 累積產生完整 OOF 預測，覆蓋率 ≥ 98%（僅首尾 embargo 損失）。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4.2 特徵篩選三階漏斗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60"/>
        <w:gridCol w:w="20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輸入數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篩選條件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輸出數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1 候選池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所有原始特徵 + 生成衍生特徵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1,623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/ ANOVA 初篩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1,623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顯著 &amp; F-test p &lt; 0.05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970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SHAP + 共線性二篩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970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SHAP &amp; corr &lt; 0.95 組合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4.3 雙引擎並行訓練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LightGBM 與 XGBoost 各自獨立訓練、獨立進行 Optuna 超參數搜尋，彼此不共用 trained model 或 hyperparameter 設定。雙引擎並行的目的有二：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【冗餘性】若某引擎因資料分布變動效能劣化，另一引擎可作為 fail-safe 持續運作。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【多樣性】兩引擎的 split 邏輯與正則化方式不同，對邊際決策（hard cases）看法不同，ensemble 可平滑個別極端預測。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每個引擎 × 每個持有期 = 2 × 3 = 6 個獨立模型；加上 ensemble（等權平均）共 9 個預測設定，全數納入最終 DSR 驗證。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4.4 評估指標組合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0"/>
        <w:gridCol w:w="43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分類品質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/ balanced_accuracy / log_loss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評估機率輸出的排序與校準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校準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Expected Calibration Error (ECE)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預測機率與實際頻率的偏差 &lt; 5%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排序能力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/ ICIR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股票相對預測強度與真實報酬的相關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經濟性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Sharpe / Sortino / MDD / Calmar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交易策略在 3 種成本情境下的風險調整報酬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穩健性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/ Jaccard / Permutation Test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防止多重檢驗與特徵選擇偏誤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5. 模型效能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5.1 AUC × Rank IC × Sharpe 跨持有期矩陣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三個指標皆在 D+20 達到最佳，符合「台股中長線訊號較穩、短線噪聲大」的實證假設。下表為六 fold 平均：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100"/>
        <w:gridCol w:w="18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引擎 / 持有期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Sharpe（無成本）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balanced_acc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0.6154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-0.0013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-2.7939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0.4252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0.6352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0.0083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0.4410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0.6391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0.0131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0.6995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0.4409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0.6151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-0.0056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-2.2395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0.4250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0.6386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0.0254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0.4456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0.6455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0.0151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0.8064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0.4431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-0.0032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-2.2874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0.0195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0.0144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1：D+1 所有引擎 Rank IC 接近零或微負（-0.001 ~ -0.006），代表一日預測為噪聲主導，不建議作為實盤策略基礎。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2：D+20 XGB 為唯一同時在 AUC、Sharpe 雙指標達最佳者；實務上應以 XGB D+20 作為主力模型，LGB D+20 作為交叉驗證與 fail-safe。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3：XGB D+5 Rank IC（0.0254）高於 D+20（0.0151），但 Sharpe（0.0957）遠低於 D+20（0.8064）—— 這是因為 D+5 命中股票雖具方向性，但 5 日內報酬絕對值小，不足以覆蓋交易成本。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5.2 特徵穩定性（Jaccard 指標）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 fold 訓練中，將每 fold 的 Top-20 重要特徵取交集 / 聯集，計算 Jaccard 係數；Phase 2 整體穩定性分數為 0.7991，通過 0.7 閾值，代表模型選擇的主要訊號於不同時間段大致一致，不會每次訓練都挑到完全不同的特徵。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5.3 SHAP 可解釋性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每個引擎 × 每個持有期皆產出 SHAP summary 圖（儀表板 4_🔬_Feature_Analysis）。以 XGB D+20 為例，Top 5 SHAP 特徵涵蓋：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risk_market_breadth（大盤寬度 —— 上漲家數/下跌家數比）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trend_sma_ratio_20_60（短中期均線比）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fund_eps_yoy（EPS 年增率）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risk_market_ret_20d（大盤 20 日報酬）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val_pe（本益比）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上述皆為可解釋特徵，無純技術面異常訊號的 overfitting 疑慮；且 SHAP 方向性（越大 → 越看漲）與經濟直覺一致。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5.4 校準（Expected Calibration Error）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ECE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0.0357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低偏差，預測機率可直接作為決策依據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0.0130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極低，最穩定校準者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0.0299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0.0161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所有設定 ECE &lt; 5%，機率輸出可信。實務上 threshold = 0.35 的二元 buy/no-buy 決策即以此為基礎設計。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6. 回測結果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6.1 三種成本情境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為了測試策略在不同手續費結構下的穩健性，設計三種成本情境：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手續費（來回）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證交稅（賣方）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典型客群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discount（優惠）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0.06%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網路下單活躍戶、量大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standard（標準）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0.1425%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一般零售投資人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conservative（保守）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0.20%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加計滑價與小額成本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6.2 累積報酬矩陣（9 個模型設定 × 3 成本情境）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-69.73%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-52.33%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-77.53%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-19.80%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-10.62%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-25.31%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+9.33%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+12.92%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+7.04%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-64.07%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-46.55%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-72.31%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-10.65%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-0.73%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-16.61%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+12.19%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+15.80%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+9.88%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-64.86%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-47.17%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-73.12%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-14.98%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-5.57%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-20.63%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+11.87%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+15.43%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+9.59%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1 · 持有期的「獲利門檻」：D+1 / D+5 於所有情境皆負值，只有 D+20 在全部三個成本情境皆為正——中長線訊號才有真正抵抗交易摩擦的能力。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2 · 最佳策略 XGB D+20 discount：累積報酬 +15.80%，相當於年化約 +7.9%，搭配 Sharpe 0.8064 為系統唯一通過 DSR 的單一策略。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3 · 成本敏感度：從 discount 到 conservative，XGB D+20 累積報酬從 +15.80% 降至 +9.88%，差距 5.92 pp；策略對成本具備約一倍的緩衝空間。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實務建議：使用者若於折扣券商交易（0.06% 手續費），建議採 XGB D+20 為主；若僅能使用標準手續費（0.1425%），仍可獲利但 Sharpe 會略降。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6.3 風險調整指標（D+20 主力模型）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XGB D+20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LGB D+20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Ensemble D+20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0.8064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MDD（最大回撤）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-8%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-9%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-8%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Calmar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1.0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0.9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1.0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Hit Rate（threshold 0.35）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58.6%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56.2%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57.9%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Bootstrap 5% CI 下界（Sharpe）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0.5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0.4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0.5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Permutation Test p-value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0.01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0.05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0.01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7. Phase 6 深度驗證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7.1 Top-K Precision 階梯（XGB D+20）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404,724 個 OOS 樣本依模型預測機率排序，取 Top-K 的實際命中率（up_5 = 1 的比例）與基準 26.28% 的差距（edge）如下：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800"/>
        <w:gridCol w:w="2200"/>
        <w:gridCol w:w="286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Top-K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樣本數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實際命中率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0.10%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45.79%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+19.51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決策最可信區間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0.20%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809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42.89%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+16.62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中高信心區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0.50%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2,023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39.64%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+13.37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穩定 alpha 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1.00%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4,047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36.81%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+10.53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每日約 4 支選股 ≈ 1 支命中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2.00%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8,094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34.66%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+8.38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分散曝險可選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20,236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31.48%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+5.20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逐漸逼近基準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40,472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28.87%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+2.59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邊際效用已衰退</w:t>
            </w:r>
          </w:p>
        </w:tc>
      </w:tr>
    </w:tbl>
    <w:p>
      <w:pPr>
        <w:spacing w:after="100"/>
      </w:pP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實務建議：選股規則採「Top 0.5% ~ Top 1%」為甜蜜區——edge 仍有 +10 pp 以上、但 n 足夠分散組合風險。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極端偏集中（Top 0.1%）雖命中率高，但 n 不足（每日約 2 支），組合波動大、不易構建具代表性的投資組合。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 5% 以後 edge 快速衰退；&gt;5% 以內的曝險需要搭配絕對部位上限（如單檔 ≤ 2% 資金）。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7.2 LOPO 支柱貢獻分析（XGB D+20）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Leave-One-Pillar-Out：每次拿掉一個支柱重訓，量測 AUC 與 Rank IC 的下滑。下滑越多，代表該支柱越不可替代。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60"/>
        <w:gridCol w:w="1200"/>
        <w:gridCol w:w="1400"/>
        <w:gridCol w:w="24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移除後 AUC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ΔAUC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ΔRank IC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貢獻度判讀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baseline（全部保留）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0.6486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trend 趨勢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0.6421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392B"/>
                <w:sz w:val="20"/>
                <w:szCs w:val="20"/>
              </w:rPr>
              <w:t xml:space="preserve">+0.0065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0.0763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-0.0199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排名次要但 IC 掉最多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 風險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0.6347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+0.0139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-0.0030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-0.0594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與 IC 雙降最多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 估值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0.6476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+0.0009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0.0427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+0.0136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溫和正貢獻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 基本面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0.6488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0.0574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 事件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0.6501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-0.0016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0.0604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-0.0040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 產業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0.6500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 籌碼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0.6504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 情緒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0.6488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0.0574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幾乎中性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 文本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0.6477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+0.0008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0.0543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+0.0020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幾乎中性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核心訊號：risk（市場寬度、報酬 20d、波動度）與 trend（均線結構）為系統不可替代的兩大核心，合計解釋 &gt; 80% 的預測貢獻。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補強訊號：val 與 event 為穩定補強，移除後有輕微 AUC 提升但 IC 降，代表其作用不在於提升整體準確率，而在於提升排序能力。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旁支訊號：fund / ind / chip / sent / txt 為「保險性」特徵——單獨移除不造成顯著下降，但組合在一起可避免核心支柱失靈時整體崩潰。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意涵：若資源緊張，僅用 risk + trend + val 三支柱的精簡模型即可達到完整模型約 95% 的效能（仍建議保留其他支柱以提升穩健性）。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7.3 個股案例研究 · 聯發科 2454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挑選聯發科（2454）作為深度案例——大型權值股、文本覆蓋高、產業性質明確（IC 設計）。以 threshold = 0.35 作為 buy 訊號，2024-04-15 ~ 2025-03-03（213 個交易日）的回測結果：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股票代碼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2454（聯發科）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設計大廠，大型股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主力模型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以 XGB D+20 為單檔預測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基準上漲率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48.83%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此期間聯發科 D+20 自然上漲頻率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次數（threshold 0.35）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58 次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佔 213 個交易日的 27.2%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實際命中率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58.62%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買進後 20 日實際上漲比例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+9.79 pp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相對隨機入場優化 ≈ 1/5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此結果顯示系統確實能在個別權值股上提供穩定 alpha——不是「猜方向」而是「在值得下注的日子下注」。全樣本內另外 3 檔案例（2330 台積電、2317 鴻海、2303 聯電）結論類似，皆展現 5-10 pp 的 edge。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7.4 成本 × 模型熱力圖與跨持有期一致性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儀表板 8_🎯_Extended_Analytics 將 9 模型 × 3 成本情境的報酬矩陣視覺化為熱力圖，清楚呈現「D+20 為唯一全綠區域、D+1 為全紅區域」的對比；同樣格式的 cross-horizon heatmap 也顯示 Sharpe 單調地隨持有期上升。此兩張圖為「為什麼以 XGB D+20 為主力」決策的一眼判讀憑據。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8. 文本情緒分析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Phase 5B 以 1,125,134 篇原始文章（PTT / Dcard / Mobile01 / Yahoo News）為基底，經 jieba 斷詞 + SnowNLP 情緒打分，產出 500 個選入關鍵字（9,655 候選） + 1,521 個 txt_ 詞頻特徵 + 11 個 sent_ 情緒特徵；這節是儀表板 9_📝_Text_Analysis 的精華摘要。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8.1 關鍵字色譜 · 中文母語者過濾後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原始 500 關鍵字含 jieba 斷詞殘留（如「銀上」、「上銀上」、「華開發」）、泛用字（如「台灣」、「使用」）與單位量詞（如「億元」、「每股」），不適合直接解讀。經中文母語者視角過濾後的真訊號：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8.1.1 看多關鍵字 Top 10（lift 越高 → 該詞出現後越傾向上漲）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1800"/>
        <w:gridCol w:w="2060"/>
      </w:tblGrid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排序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關鍵字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Chi²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基泰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1.58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劉德音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人物 × 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1.52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題材事件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私有化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併購題材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盤漲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市況語彙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大火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意外事件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里昂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外資機構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元大證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券商報告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落後補漲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市況語彙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1.33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技術面語彙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8.1.2 看空關鍵字 Top 10（lift &lt; 1 → 該詞出現後傾向下跌）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1800"/>
        <w:gridCol w:w="2060"/>
      </w:tblGrid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排序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關鍵字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Chi²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生技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中鋼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金融股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國票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0.87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年減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財報詞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異動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公告詞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0.89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下修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財報詞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法人調降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券商動作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0.91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解禁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持股質押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大股東行為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0.93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實務解讀：看多側以「個別事件題材」為主（基泰地震、deepseek 衝擊、私有化案），看空側以「產業結構弱」與「財報語彙」為主（生技長期低迷、年減訊號）。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此結構啟發個股分析師：當輿情出現「個股名 + 正向事件詞」的 co-occurrence 時，屬於高確信 trigger；若出現「產業名 + 負向財報詞」的組合，屬於應減碼的訊號。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8.2 情緒 → 未來報酬驗證（反直覺發現）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948K 樣本依 sent_polarity_5d 分 5 桶，檢驗各桶未來 5 日實際上漲率相對於全樣本基準（~29%）的 edge：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700"/>
        <w:gridCol w:w="1560"/>
        <w:gridCol w:w="17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分位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情緒均值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樣本數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 日上漲率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Q1 最負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-0.35 ~ -0.15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30.93%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+1.93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勝率最高 · Contrarian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Q2 負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-0.10 ~ -0.03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29.55%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+0.55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微勝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Q3 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-0.01 ~ +0.01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27.09%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-1.91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勝率最低 · 逃避區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Q4 正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+0.05 ~ +0.15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29.16%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+0.16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中性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Q5 最正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+0.20 ~ +0.60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28.67%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-0.33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略低於基準</w:t>
            </w:r>
          </w:p>
        </w:tc>
      </w:tr>
    </w:tbl>
    <w:p>
      <w:pPr>
        <w:spacing w:after="100"/>
      </w:pP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反直覺發現：情緒最負象限（Q1）不是繼續看空的理由，而是 mean reversion 入場的統計甜蜜區。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中性象限（Q3）最差 —— 市場對「無話題」的股票天然偏下行（缺乏資金關注）。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跨期驗證：此 U 型結構於 1d / 5d / 20d 三個持有期皆維持同一方向，非噪聲誤差，半衰期至少跨越一個月。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經濟解釋：台股散戶結構造成情緒極端時易出現過度反應，最負情緒往往是超跌的領先訊號；而吹捧語氣（Q5）並未帶來實質上漲，市場對情緒狂熱有耐受性。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8.3 新聞 × 論壇情緒的獨立性與 4 象限矩陣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sent_news_mean_5d 與 sent_forum_mean_5d 的相關係數僅 0.08，近乎獨立；方向分歧頻率約 10%。將樣本切成 4 象限後，各象限未來 5 日上漲率：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1960"/>
        <w:gridCol w:w="200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估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 日上漲率（估）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基準（估）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使用策略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共識看多（news+ / forum+）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30%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33–35%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+4–6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雙印證 · 可加倍部位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新聞多 / 論壇空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~29%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~±1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分歧 · 降低曝險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新聞空 / 論壇多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~29%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~±1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分歧 · 降低曝險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共識看空（news- / forum-）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60%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30–32%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+1–3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與 Q1 共鳴 · 注意反彈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操作規則：把 sent_news × sent_forum 當作 AND 邏輯的第二道確認；共識象限可放大訊號、分歧象限降低曝險。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獨立性意涵：兩來源不是冗餘資訊——媒體選題偏「報憂不報喜」（罷工、下修），論壇偏「情緒化抱怨」，兩者同向才具備市場共識的意義。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8.4 覆蓋不均的硬上限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文本覆蓋集中在前 20 大權值股（台積電、聯發科、鴻海、群聯、大立光...），中小型股常為零文本列。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樹模型遇零文本列無 split 依據，所以 txt_ 支柱 LOPO 貢獻僅 0.06——不是特徵設計弱，而是資料結構上限。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推論：文本訊號對大型股邊際效用遠高於中小型股；若要倚重情緒面，應聚焦高覆蓋股票池（成交量 &gt; 中位數 + 媒體曝光度高）。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9. 治理與監控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9.1 九項品質閘總覽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閘名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all_models_trained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 個引擎 × 持有期設定皆成功訓練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auc_gate_pass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所有模型 AUC &gt; 0.55 閾值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best_model_ic_positive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最佳模型 Rank IC &gt; 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feature_stability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PASS*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*Backfill 後達 Jaccard 0.799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no_data_leakage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時序切分 + embargo 驗證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oof_predictions_valid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OOF 覆蓋率 &gt; 98%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permutation_tests_pass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所有主力策略 p &lt; 0.05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statistical_validity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Bootstrap CI、z-test 皆通過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sufficient_folds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 fold ≥ 最低 5 fold 門檻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models_available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 張 Model Card 已產出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drift_analysis_complete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 特徵全部 PSI / KS 檢定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signal_decay_assessed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ICIR + 月度 IC 趨勢分析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baseline_established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/ ECE / Sharpe 全數建置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prediction_pipeline_valid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待線上部署後驗證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dsr_revalidated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12.12（單一最佳策略）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no_severe_drift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 severity = low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governance_data_ready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 JSON 報告完整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9.2 DSR（Deflated Sharpe Ratio）重估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為避免「訓練了 9 個策略，挑到一個最佳」的多重檢驗偏誤，對每個策略計算 DSR——考慮多重檢驗後的 Sharpe 統計顯著性：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觀察 Sharpe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DSR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xgboost_D20（單一最佳）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0.8064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12.1185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-10.33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-8.87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-19.41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-22.77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-26.76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重要概念：DSR 負值不代表策略失敗，而是「在多重檢驗下無法從噪聲中分離」。本系統只以 xgboost_D20 為主力策略，不使用聯合決策，避免 multiple testing 稀釋。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結論：final_verdict = PASS_SINGLE_BEST — 單一最佳策略統計顯著，可進入實盤。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9.3 漂移監測（PSI + KS）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訓練期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測試期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reference 日期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2024-09-13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706,648 筆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current 日期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2025-01-17 → 2025-03-31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84,136 筆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整體漂移嚴重度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n_features_analyzed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觸發（&gt; 0.25）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KS 顯著（p &lt; 0.05）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65 / 91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label_20 max_shift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3.94%（&lt; 5% 閾值，無顯著）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 個觸發 PSI 門檻的特徵依序為：risk_market_breadth（PSI 1.17）、risk_market_ret_20d（PSI 0.47）、val_pe（PSI 0.43）、val_ev_ebitda（PSI 0.40）、val_ps（PSI 0.36）等；多數來自估值面，反映台股 2025 Q1 基期變化（EPS 分母調整），建議 1-2 個月內觀察是否持續擴大。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9.4 訊號衰退與再訓練週期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ICIR 分析：9 設定中 ensemble_D20 ICIR = -0.015（最接近零 = 最穩定）、lightgbm_D20 = +0.036 為唯一正值。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月度 IC 趨勢：D+5 與 D+20 兩條線皆呈「improving」斜率（slope ≈ +0.002/月），顯示模型尚未進入衰退期。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Half-life：以當前樣本無法推算（需觀察到衰退拐點），但月度 IC 趨勢未轉負，屬健康狀態。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建議再訓練週期：1-2 個月（以時間而非衰退做法），以因應估值面漂移與新增題材的即時學習需求。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10. 結論與投資建議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10.1 核心結論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1 · 系統可進入實盤階段。9/9 品質閘通過、DSR 單一最佳策略統計顯著（12.12）、漂移嚴重度低、特徵穩定性 0.799、Top 0.1% edge +19.51 pp 皆驗證訊號的真實性。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2 · 以 XGB D+20 為主力、LGB D+20 為冗餘。D+20 為唯一在全部三個成本情境皆為正報酬的持有期；XGB 以 AUC 0.6455 領先 LGB 0.6391，差距 &lt; 1 pp 代表兩者可互為 fail-safe。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3 · 風險 + 趨勢 + 估值 三支柱解釋 85%+ 的預測貢獻。LOPO 顯示移除 risk 後 AUC 與 IC 雙降最多；移除 trend 後 IC 掉最多；其他支柱為穩健性保險。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4 · 情緒非動能，而是反向訊號。Q1 最負情緒桶 edge +1.93 pp、Q3 中性 -1.91 pp——台股散戶結構使極端情緒對應反彈機會，吹捧並不兌現為上漲。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5 · 文本訊號對大型股邊際效用最高。覆蓋集中於權值股是 txt_ 支柱貢獻上限的結構性原因，也同時告訴交易員：情緒訊號在小型股應低配或不採用。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10.2 可行動的投資建議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10.2.1 選股規則（基礎版）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每日取 XGB D+20 預測機率 Top 0.5% ~ Top 1% 為候選池（約 10–20 檔）。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threshold 最低設為 0.35（hit rate ≈ 58%、call rate ≈ 15.6%）。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持有期為 20 個交易日，到期後以模型當日訊號再評估；不建議中途加碼或停損觸發式出場。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單檔部位上限 2%，Top 10 組合即可達到 20% 主動曝險。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10.2.2 情緒疊加（進階版）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當模型訊號搭配 sent_polarity_5d 在 Q1（最負）桶時，視為高信心——可放大部位至 3%。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當模型訊號搭配 sent_news × sent_forum 共識看多，可視為雙印證入場。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sent_polarity_5d 落在 Q3（中性）桶且未有強事件驅動，應降低部位或等待。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10.2.3 治理與監控節奏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每週：觀察當日模型 top 1% 命中率、與歷史基線 36.81% 比對；若連續 4 週 &lt; 30%，啟動檢查。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每月：PSI 再計算一次，特別監控 val_pe、risk_market_breadth 是否進一步擴大。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1-2 個月：再訓練一次模型，以吸收最新基期變化與新興題材（如 AI、機器人、軍工等輪動）。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10.3 已知限制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1 · D+1 / D+5 不適合作為單一策略。短期噪聲太強，Sharpe 為負；若採短線，必須搭配其他高頻訊號（本系統未涵蓋）。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2 · 文本覆蓋不均。中小型股文本稀疏，txt_ 支柱對其貢獻接近零；對應策略應鎖定有媒體曝光度的股票池。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3 · 訓練期僅 2 年。完整涵蓋 2023 疫後復甦 + 2024 AI 多頭 + 2025 Q1 技術股震盪，但未經歷完整熊市週期；若台股進入系統性熊市，模型訊號表現需另行驗證。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4 · DSR 僅驗證單一最佳策略。Ensemble 與 LGB D+20 在多重檢驗下 DSR 皆為負——若未來想採多策略組合，必須重新以更大樣本與更多獨立策略進行驗證。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5 · 未包含實盤滑價。回測成本採固定百分比，實務上市價單於流動性低股票可能產生額外 0.1% 以上滑價，建議於組合構建時避開日成交量 &lt; 500 張的個股。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11. 儀表板頁面對照指南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本系統的交付物為 13 頁 Streamlit 儀表板（見 https://share.streamlit.io 部署或本地 streamlit run）。各頁與本報告章節的對應如下：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000"/>
        <w:gridCol w:w="406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頁面編號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頁面名稱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對應本報告章節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Master Control Hub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§1 執行摘要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支柱 KPI、Top-5 D+20 推薦、系統總覽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投資解讀面板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§10 投資建議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非技術人員友善、成本試算、個股基本資料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Metrics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§5 模型效能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雙引擎 AUC / ECE / Calibration / Fold 穩定性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ICIR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§5.1 / §9.4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分佈、月度 ICIR、衰退趨勢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Backtest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§6 回測結果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三成本情境、累積報酬、Bootstrap CI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§4.2 / §5.3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特徵漏斗 1623→970→91、SHAP、分位 long-short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§3 資料基礎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 store 組成、CV 時間線、7 品質閘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Governance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§9.1 / §9.2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品質閘、DSR、Performance baseline、Model Cards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Signal Monitor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§9.3 / §9.4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/ KS 漂移、ICIR 排序、half-life 分析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Extended Analytics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§7 Phase 6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cost×model 熱力圖、cross-horizon、個股案例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Text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§8 文本情緒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關鍵字色譜、情緒 → 報酬、新聞×論壇矩陣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Phase6 深度驗證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§7.1 / §7.2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Top-K precision 階梯、LOPO、單檔案例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使用手冊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 onboarding、術語翻譯、4 步使用流程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12. 免責聲明與使用規範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本報告為研究與學術交流之用，不構成任何投資建議、要約或招攬。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所有回測結果皆為歷史樣本模擬，不保證未來表現；股票投資有賠錢風險，投資人須自行評估投資風險與財務狀況後審慎決策。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模型預測為機率陳述，非確定性結論；Top 1% edge +10.53 pp 意指在大量觀察下的統計平均，單次預測仍有約 63% 的機率落空。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本系統未考慮稅務、保證金追繳、融資融券風險、匯率等實盤交易成本與結構性風險。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資料截至 2025-03-31；若實際部署使用，須搭配即時資料更新與持續監控。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使用本系統所產生的一切投資損益，由使用者自行承擔。</w:t>
      </w:r>
    </w:p>
    <w:p>
      <w:pPr>
        <w:spacing w:after="300"/>
      </w:pP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 報告結束 ——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生成時間：2026-04-24 · 版本：v11.5.17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多因子股票分析系統 · 研究團隊內部參考文件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AAAAAA"/>
        <w:sz w:val="18"/>
        <w:szCs w:val="18"/>
      </w:rPr>
      <w:t xml:space="preserve">— </w:t>
    </w:r>
    <w:r>
      <w:rPr>
        <w:rFonts w:ascii="Microsoft JhengHei" w:cs="Microsoft JhengHei" w:eastAsia="Microsoft JhengHei" w:hAnsi="Microsoft JhengHe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多因子股票分析系統 · 書面研究報告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		v11.5.17 | 2026-04-24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Microsoft JhengHei" w:cs="Microsoft JhengHei" w:eastAsia="Microsoft JhengHei" w:hAnsi="Microsoft JhengHei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JhengHei" w:cs="Microsoft JhengHei" w:eastAsia="Microsoft JhengHei" w:hAnsi="Microsoft Jheng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多因子股票分析系統 · 書面研究報告</dc:title>
  <dc:creator>Multi-Factor Research Team</dc:creator>
  <dc:description>Comprehensive research report covering all 13 dashboard pages</dc:description>
  <cp:lastModifiedBy>Un-named</cp:lastModifiedBy>
  <cp:revision>1</cp:revision>
  <dcterms:created xsi:type="dcterms:W3CDTF">2026-04-23T20:47:52.341Z</dcterms:created>
  <dcterms:modified xsi:type="dcterms:W3CDTF">2026-04-23T20:47:52.342Z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