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大數據與商業分析專案</w:t>
      </w:r>
    </w:p>
    <w:p>
      <w:pPr>
        <w:pBdr>
          <w:bottom w:val="single" w:color="1F4E79" w:sz="6" w:space="8"/>
        </w:pBdr>
        <w:spacing w:after="6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台灣股市多因子預測系統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Phase 1: 資料工程與特徵建構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Phase 2: 模型開發與策略回測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資料期間：2023-03-01 至 2025-03-31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涵蓋標的：台灣上市櫃約 1,932 家公司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報告日期：2026 年 4 月 5 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目錄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1. 專案概述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2. 資料工程（Phase 1）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 特徵工程與選擇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 模型訓練方法論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5. 模型評估結果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 策略回測分析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7. 品質保證與閘門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8. 結論與未來展望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專案概述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研究目標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本專案旨在建構一套完整的台灣股市多因子量化預測系統，整合價量技術面、基本面財務、估值面、事件面與風險面等五大類特徵，運用機器學習模型（LightGBM 與 XGBoost）對台股未來 1 日、5 日〠20 日的漲跌方向進行三類別分類預測（上漲 / 持平 / 下跌），並透過嚴謹的 Walk-Forward 時序交叉驗證與策略回測驗證模型的實戰可行性。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資料範圍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資料來源為 FinMind 開放資料平台，涵蓋台灣上市櫃約 1,932 家公司，資料期間自 2023 年 3 月 1 日至 2025 年 3 月 31 日，共計 505 個交易日。Feature Store 最終包含 948,976 筆日頻資料（59 個欄位，含 43 個候選特徵、3 個標籤、識別欄位等）。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系統架構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系統分為兩大階段：Phase 1 負責資料擷取、清洗、特徵工程與 Feature Store 建構；Phase 2 負責特徵篩選、模型訓練、超參數優化與策略回測。整體流程遵循 Point-in-Time（PIT）原則，確保財務數據以 merge_asof 方式合併，杜絕未來資訊洩漏。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資料工程（Phase 1）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資料擷取與儲存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透過 FinMind API 批次擷取台股 OHLCV 日頻價量資料與季頻財務報表資料，以 Parquet 格式儲存於本地，兼顧壓縮效率與讀取速度。價格資料經過嚴格品質檢查，確保無重複列、無負值價格。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財務資料處理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財務報表資料經過以下處理：營收成長率（YoY）計算、毛利率 / 營業利益率 / 淨利率等邊際比率計算並施加合理上下界裁切（clip），防止微營收公司產生極端離群值污染。所有財務數據採用 Point-in-Time 合併策略，以公司財報公布日為基準向前對齊，確保模型訓練時不會使用到未來才公布的財務資訊。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標籤生成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前瞻報酬率以未來 N 日收盤價變化率計算，並以固定閾值劃分為三類別：上漲（UP）、持平（FLAT）、下跌（DOWN）。</w:t>
      </w:r>
    </w:p>
    <w:p>
      <w:pPr>
        <w:spacing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覆蓋率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label_1 (D+1)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label_5 (D+5)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label_20 (D+20)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27.5%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D+1 類別分布最均衡，D+20 的 FLAT 比例較高（44.8%）反映長期持平的市場結構特性。模型訓練中透過 balanced sample weight 進行樣本權重調整，緩解類別不平衡問題。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特徵工程與選擇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五大類特徵體系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本系統建構了涵蓋五大維度的 43 個候選特徵：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特徵類別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代表性特徵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趨勢面 (Trend)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動量(10/20日)、波動率(20/60日)、ATR、布林帶、成交量均線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基本面 (Fundamental)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營收、淨利、營業利益、毛利率、淨利率、營收YoY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估值面 (Valuation)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本益比(PE)、PE百分位排名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事件面 (Event)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1日/5日新聞數量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風險面 (Risk)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市場報酬20日、最大回撤、Beta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三階段特徵篩選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第一階段 — Mutual Information 篩選：</w:t>
      </w:r>
      <w:r>
        <w:rPr>
          <w:rFonts w:ascii="Arial" w:cs="Arial" w:eastAsia="Arial" w:hAnsi="Arial"/>
          <w:sz w:val="22"/>
          <w:szCs w:val="22"/>
        </w:rPr>
        <w:t xml:space="preserve">以時序尾段樣本計算各特徵與標籤間的互信息量，取前 60% 百分位（MI cutoff = 0.0298），從 43 個特徵中篩選出 26 個。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第二階段 — VIF 多重共線性移除：</w:t>
      </w:r>
      <w:r>
        <w:rPr>
          <w:rFonts w:ascii="Arial" w:cs="Arial" w:eastAsia="Arial" w:hAnsi="Arial"/>
          <w:sz w:val="22"/>
          <w:szCs w:val="22"/>
        </w:rPr>
        <w:t xml:space="preserve">對通過 MI 篩選的特徵進行標準化後計算 VIF，逐步移除 VIF &gt; 10 的高共線性特徵。依序移除 fund_revenue_sq（VIF=175.6）、trend_atr_20（VIF=79.2）、trend_price_vs_ma20（VIF=13.9），最終保留 23 個特徵。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第三階段 — 跨折穩定性驗證：</w:t>
      </w:r>
      <w:r>
        <w:rPr>
          <w:rFonts w:ascii="Arial" w:cs="Arial" w:eastAsia="Arial" w:hAnsi="Arial"/>
          <w:sz w:val="22"/>
          <w:szCs w:val="22"/>
        </w:rPr>
        <w:t xml:space="preserve">計算跨 Walk-Forward 各折的特徵選擇 Jaccard 相似度 = 0.937，top-20 一致特徵 = 19 個，表明特徵篩選結果高度穩定。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模型訓練方法論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Purged Walk-Forward 交叉驗證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採用擴展視窗式的 Purged Walk-Forward CV，模擬真實投資場景中「用過去預測未來」的資訊結構。訓練集與測試集間設置 20 個交易日的 embargo 隔離帶。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80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訓練期間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測試期間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訓練筆數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測試筆數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2023/03 → 2024/03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2024/04 → 2024/07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467,291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119,679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2023/03 → 2024/06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2024/07 → 2024/10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586,800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119,781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2023/03 → 2024/09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2024/10 → 2025/01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706,648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120,178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2023/03 → 2024/12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2025/01 → 2025/03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826,655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84,136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共產生 4 個 Fold，總訓練樣本 2,587,394 筆、總測試樣本 443,774 筆。訓練集以 85:15 比例切分出 Early Stopping 驗證集，確保不使用測試集做超參數調校。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模型架構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LightGBM：</w:t>
      </w:r>
      <w:r>
        <w:rPr>
          <w:rFonts w:ascii="Arial" w:cs="Arial" w:eastAsia="Arial" w:hAnsi="Arial"/>
          <w:sz w:val="22"/>
          <w:szCs w:val="22"/>
        </w:rPr>
        <w:t xml:space="preserve">梯度提升決策樹框架，以 leaf-wise 生長策略為特點，適合大規模高維資料。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XGBoost：</w:t>
      </w:r>
      <w:r>
        <w:rPr>
          <w:rFonts w:ascii="Arial" w:cs="Arial" w:eastAsia="Arial" w:hAnsi="Arial"/>
          <w:sz w:val="22"/>
          <w:szCs w:val="22"/>
        </w:rPr>
        <w:t xml:space="preserve">另一主流梯度提升框架，以 level-wise 生長策略為主。在 D+20 回測中表現最佳（Sharpe 0.80）。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Optuna 超參數優化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在每個 horizon 的第一折上使用 Optuna 進行貝葉斯超參數搜索，搜索空間涵蓋學習率、樹深度、葉節點數、正則化參數等。搜索限制為 50 次試驗或 600 秒超時，以 validation logloss 為優化目標。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資料洩漏防護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本系統在多個層面嚴格防護資料洩漏：財務數據以 Point-in-Time merge_asof 合併；Walk-Forward CV 設置 20 日 embargo 帶；Early Stopping 使用訓練集切出的驗證集（而非測試集）；Rank IC 僅在 OOF 測試資料上計算。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模型評估結果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Out-of-Fold 預測指標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以下為六組模型在 Walk-Forward OOF 測試集上的平均表現：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1.0674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42.76%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42.21%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0.0396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42.61%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0.0486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43.37%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43.29%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42.23%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0.0406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1.0725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42.61%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0.0428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結果分析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AUC 表現（0.61–0.63）：</w:t>
      </w:r>
      <w:r>
        <w:rPr>
          <w:rFonts w:ascii="Arial" w:cs="Arial" w:eastAsia="Arial" w:hAnsi="Arial"/>
          <w:sz w:val="22"/>
          <w:szCs w:val="22"/>
        </w:rPr>
        <w:t xml:space="preserve">在三類別台股預測任務中，AUC 超過 0.6 代表模型具備顯著的分類能力。較長預測時間範圍（D+20）的 AUC 略高於短期（D+1），反映長期趨勢較短期雜訊更具可預測性。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 IC（0.039–0.052）：</w:t>
      </w:r>
      <w:r>
        <w:rPr>
          <w:rFonts w:ascii="Arial" w:cs="Arial" w:eastAsia="Arial" w:hAnsi="Arial"/>
          <w:sz w:val="22"/>
          <w:szCs w:val="22"/>
        </w:rPr>
        <w:t xml:space="preserve">所有模型的 Rank IC 均為正值。在量化投資領域，IC 超過 0.03 通常被視為具有實用價值的預測信號。D+5 的 LightGBM 取得最高 IC = 0.0517。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跨折穩定性：</w:t>
      </w:r>
      <w:r>
        <w:rPr>
          <w:rFonts w:ascii="Arial" w:cs="Arial" w:eastAsia="Arial" w:hAnsi="Arial"/>
          <w:sz w:val="22"/>
          <w:szCs w:val="22"/>
        </w:rPr>
        <w:t xml:space="preserve">各折 AUC 標準差僅約 0.01–0.02，表明模型在不同市場環境下均能維持穩定的預測品質。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特徵重要性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前五大重要特徵依序為：risk_market_ret_20d（大盤報酬動量）、event_news_count_5d（5 日新聞量）、event_news_count_1d（1 日新聞量）、trend_momentum_10（10 日價格動能）、trend_bb_lower_20（布林帶下軌）。這反映了台股中大盤動量與資訊面是最具預測力的因子。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策略回測分析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回測方法論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回測引擎採用時間範圍感知的再平衡機制：D+1 每日換手、D+5 每 5 個交易日換手、D+20 每 20 個交易日換手。持倉以模型預測的上漲機率排序，選取前 10% 個股等權配置。報酬計算使用實際日頻收盤價變化率。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交易成本模型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來回成本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0.485%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台股標準手續費 + 證交稅 + 滑價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0.20%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電子下單 2.8 折優惠費率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0.70%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含流動性衝擊的保守估計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回測績效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以下為 Discount 費率下的回測績效（Benchmark 等權市場指數 -2.43%）：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4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累積報酬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Benchmark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-9.68%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-26.39%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-7.25%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-10.55%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-24.39%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-8.12%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+14.04%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-19.15%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+16.47%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+12.14%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-19.32%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+14.57%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+13.25%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-17.93%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+15.68%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+15.76%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-16.44%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+18.19%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績效解讀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D+1 日頻策略虧損是合理的結果。</w:t>
      </w:r>
      <w:r>
        <w:rPr>
          <w:rFonts w:ascii="Arial" w:cs="Arial" w:eastAsia="Arial" w:hAnsi="Arial"/>
          <w:sz w:val="22"/>
          <w:szCs w:val="22"/>
        </w:rPr>
        <w:t xml:space="preserve">在台股市場，每日換手的交易成本高達年化 50%+ 的費率損耗，即便模型具有正向 IC，微薄的日頻 alpha 也不足以覆蓋成本。這驗證了回測引擎的成本模型是務實的。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D+5 與 D+20 策略大幅跑贏基準，</w:t>
      </w:r>
      <w:r>
        <w:rPr>
          <w:rFonts w:ascii="Arial" w:cs="Arial" w:eastAsia="Arial" w:hAnsi="Arial"/>
          <w:sz w:val="22"/>
          <w:szCs w:val="22"/>
        </w:rPr>
        <w:t xml:space="preserve">累積超額報酬達 14–18 個百分點。最佳策略 XGBoost D+20 實現 Sharpe 0.80，最大回撤控制在 16.44%。降低再平衡頻率有效減少交易成本，使預測能力得以轉化為實際報酬。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跨成本情境分析：</w:t>
      </w:r>
      <w:r>
        <w:rPr>
          <w:rFonts w:ascii="Arial" w:cs="Arial" w:eastAsia="Arial" w:hAnsi="Arial"/>
          <w:sz w:val="22"/>
          <w:szCs w:val="22"/>
        </w:rPr>
        <w:t xml:space="preserve">以 D+20 XGBoost 為例，Standard +13.56%、Discount +15.76%、Conservative +12.14%，三種情境均為正報酬，說明策略具備足夠的費率容忍度。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品質保證與閘門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Phase 2 品質閘門</w:t>
      </w:r>
    </w:p>
    <w:p>
      <w:pPr>
        <w:spacing w:after="8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閘門名稱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檢查內容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all_models_trained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組模型全數完成訓練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auc_gate_pass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所有模型 AUC &gt; 0.55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sufficient_folds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Walk-Forward Fold ≥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no_data_leakage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Embargo 帶有效隔離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oof_predictions_valid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OOF 預測覆蓋率 &gt;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feature_stability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跨折 Jaccard &gt; 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best_model_ic_positive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最佳模型 Rank IC &gt;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資料洩漏防護總結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防護層面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財務資料合併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Point-in-Time merge_asof，以公布日為基準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時序交叉驗證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Expanding Window + 20 日 Embargo 隔離帶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模型調校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Stopping 用訓練集 15% 切分的驗證集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評估指標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IC 僅在 OOF 測試資料上計算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回測報酬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使用實際日頻價格變化率，非前瞻標籤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結論與未來展望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主要結論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預測能力驗證：</w:t>
      </w:r>
      <w:r>
        <w:rPr>
          <w:rFonts w:ascii="Arial" w:cs="Arial" w:eastAsia="Arial" w:hAnsi="Arial"/>
          <w:sz w:val="22"/>
          <w:szCs w:val="22"/>
        </w:rPr>
        <w:t xml:space="preserve">六組模型在嚴格的 Walk-Forward OOF 評估下均展現顯著的預測能力（AUC 0.61–0.63，Rank IC 0.04–0.05），且跨折表現穩定。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策略獲利性：</w:t>
      </w:r>
      <w:r>
        <w:rPr>
          <w:rFonts w:ascii="Arial" w:cs="Arial" w:eastAsia="Arial" w:hAnsi="Arial"/>
          <w:sz w:val="22"/>
          <w:szCs w:val="22"/>
        </w:rPr>
        <w:t xml:space="preserve">D+5 與 D+20 策略在三種成本情境下均能獲利，最佳策略 XGBoost D+20 實現 Sharpe 0.80、累積報酬 +15.76%，大幅超越等權基準 18.19 個百分點。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系統嚴謹性：</w:t>
      </w:r>
      <w:r>
        <w:rPr>
          <w:rFonts w:ascii="Arial" w:cs="Arial" w:eastAsia="Arial" w:hAnsi="Arial"/>
          <w:sz w:val="22"/>
          <w:szCs w:val="22"/>
        </w:rPr>
        <w:t xml:space="preserve">五層資料洩漏防護、七項品質閘門、三階段特徵篩選，確保結果的可信度與可重現性。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限制與改善方向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模型多樣性：</w:t>
      </w:r>
      <w:r>
        <w:rPr>
          <w:rFonts w:ascii="Arial" w:cs="Arial" w:eastAsia="Arial" w:hAnsi="Arial"/>
          <w:sz w:val="22"/>
          <w:szCs w:val="22"/>
        </w:rPr>
        <w:t xml:space="preserve">未來可加入 TabNet、CatBoost 或 Transformer-based 時序模型，透過模型集成進一步提升預測穩定性。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特徵擴展：</w:t>
      </w:r>
      <w:r>
        <w:rPr>
          <w:rFonts w:ascii="Arial" w:cs="Arial" w:eastAsia="Arial" w:hAnsi="Arial"/>
          <w:sz w:val="22"/>
          <w:szCs w:val="22"/>
        </w:rPr>
        <w:t xml:space="preserve">可整合更多另類數據源，如法人籌碼、選擇權隱含波動率、產業關聯圖譜等。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風險控制精進：</w:t>
      </w:r>
      <w:r>
        <w:rPr>
          <w:rFonts w:ascii="Arial" w:cs="Arial" w:eastAsia="Arial" w:hAnsi="Arial"/>
          <w:sz w:val="22"/>
          <w:szCs w:val="22"/>
        </w:rPr>
        <w:t xml:space="preserve">加入動態部位調整、尾部風險控制（CVaR）以及市場狀態切換檢測。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即時系統部署：</w:t>
      </w:r>
      <w:r>
        <w:rPr>
          <w:rFonts w:ascii="Arial" w:cs="Arial" w:eastAsia="Arial" w:hAnsi="Arial"/>
          <w:sz w:val="22"/>
          <w:szCs w:val="22"/>
        </w:rPr>
        <w:t xml:space="preserve">將預測模型封裝為 API 服務，結合即時行情串接，實現從研究到實戰的完整閉環。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總評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專案從資料擷取、特徵工程、模型訓練到策略回測，完整實踐了量化投資研究的標準流程。在嚴格控制資訊洩漏的前提下，模型展現出統計顯著的預測能力與可觀的策略報酬，驗證了多因子機器學習方法在台灣股市的應用潛力。系統架構模組化且具擴展性，為後續深化研究奠定了堅實的基礎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台灣股市多因子預測系統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大數據與商業分析專案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台灣股市多因子預測系統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大數據與商業分析專案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2026-04-04T17:35:57.617Z</dcterms:created>
  <dcterms:modified xsi:type="dcterms:W3CDTF">2026-04-04T17:35:57.617Z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