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台灣股市多因子預測系統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Taiwan Stock Multi-Factor Prediction System</w:t>
      </w:r>
    </w:p>
    <w:p>
      <w:pPr>
        <w:pBdr>
          <w:top w:val="single" w:color="2E75B6" w:sz="6" w:space="1"/>
        </w:pBdr>
        <w:spacing w:after="100" w:before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大數據與商業分析專案報告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資料期間：2023-03-01 至 2025-03-31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報告日期：2026-04-05（增強版 v2.0）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LightGBM + XGBoost + Ensemble | Purged Walk-Forward CV | ICIR 信號穩定性分析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一、執行摘要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本專案建構了一套完整的台灣股市多因子預測系統，涵蓋從資料擷取、特徵工程、模型訓練到策略回測的端到端管線。系統使用 FinMind API 取得 1,932 家台灣上市櫃公司的 OHLCV 與財務報表資料（2023/3 至 2025/3），透過五支柱特徵工程建構 43 個因子，經三階段篩選（Mutual Information、VIF、跨 Fold 穩定性）精選 23 個特徵，以 Purged Walk-Forward CV 訓練 LightGBM 與 XGBoost 三分類模型（UP/FLAT/DOWN），並建構等權 Ensemble。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核心發現：D+20（月度）策略展現穩定且顯著的 alpha 信號，ICIR 達 0.74–0.77（遠超量化研究 0.5 的良好門檻），XGBoost D+20 在最保守成本假設下仍達年化 +8.50% 報酬、Sharpe 0.49，在折扣成本下達 +13.92%、Sharpe 0.72。D+1 日頻策略因高換手率（64–68%）導致成本吞噬 alpha 而不可行，驗證了低頻策略在台股的結構性優勢。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二、資料工程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資料來源與規模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資料來源為 FinMind 開放金融資料 API 與課程提供之 MySQL 資料庫備份（bda2026_backup），涵蓋台灣證券交易所與櫃檯買賣中心之上市櫃公司。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OHLCV 股價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955,405 筆 | 1,932 家公司 | 2023/3–2025/3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損益表財報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季頻 | Point-in-Time 處理防止前視偏差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新聞文本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逐日新聞計數（1d/5d 滾動窗口）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最終 Feature Store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948,976 筆 × 59 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資料品質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Feature Store 經清洗後無限值（inf_count = 0），缺失比例僅 7.39%。財務報表採用 merge_asof 以公告日期為基準進行 Point-in-Time 合併，確保模型訓練時僅使用該時點已公開的資訊，杜絕前視偏差。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三、特徵工程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五支柱因子架構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360"/>
        <w:gridCol w:w="3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因子數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代表因子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趨勢 Trend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volatility_20/60, momentum_10/20, BB, ATR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捕捉價格動能與波動結構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基本面 Fund.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operating_margin, net_income, gross_margin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衡量公司盈利品質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估值 Valuation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PE, PE_rank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相對估值水準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 Event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news_count_1d, news_count_5d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新聞活躍度代理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風險 Risk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market_ret_20d, drawdown, volatility_regime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系統風險與個股風險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三階段特徵篩選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第一階段以 Mutual Information（MI）對目標變數的資訊量進行排序，以 60 百分位為門檻從 43 個候選因子中篩選出 26 個。第二階段使用 Variance Inflation Factor（VIF）去除多重共線性嚴重的因子，保留 23 個。第三階段透過跨 Fold Jaccard 穩定性檢驗，確認篩選結果的一致性。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篩選階段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輸入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輸出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 資訊量篩選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 &gt; 60th percentile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VIF 共線性排除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VIF &lt; 10（StandardScaler）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跨 Fold 穩定性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Jaccard = 0.937</w:t>
            </w:r>
          </w:p>
        </w:tc>
      </w:tr>
    </w:tbl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特徵穩定性評分達 0.937，19/23 個特徵在所有 Fold 中一致入選，表明篩選結果具有高度魯棒性，非過擬合至特定時期的產物。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四、模型訓練與驗證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交叉驗證架構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採用 Purged Walk-Forward CV，4 個 Fold，初始訓練期 252 天（約一年），測試期約 63 天（約一季），每個 Fold 間設置 20 天 embargo 防止資訊洩漏。訓練窗口以 expanding window 方式逐步擴大，模擬真實投資決策中僅使用歷史資訊的情境。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1630"/>
        <w:gridCol w:w="163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訓練期間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測試期間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訓練筆數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測試筆數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2023/3/1 – 2024/3/13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2024/4/15 – 2024/7/12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467,291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119,679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2023/3/1 – 2024/6/14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2024/7/15 – 2024/10/17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586,800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119,781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2023/3/1 – 2024/9/13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2024/10/18 – 2025/1/16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706,648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120,178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2023/3/1 – 2024/12/18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2025/1/17 – 2025/3/31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826,655</w:t>
            </w:r>
          </w:p>
        </w:tc>
        <w:tc>
          <w:tcPr>
            <w:tcW w:type="dxa" w:w="16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84,136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模型 AUC-ROC 表現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三分類問題（UP/FLAT/DOWN）的 OOF 平均 AUC 如下。所有模型均顯著超過隨機基準 0.50 與品質門檻 0.52。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D+1 AUC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D+5 AUC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D+20 AUC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D+20 BalAcc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0.6154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0.6216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0.6260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0.4336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0.6135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0.6219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0.6211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0.4314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Ensemble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0.6169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0.6207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0.6169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0.4268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Per-Class AUC 分析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逐類別 AUC 分析揭示模型對不同市場狀態的辨識能力差異。FLAT 類別一致性最強（AUC 0.65–0.69），模型最擅長識別盤整期；UP 類別最弱，尤其 D+20 Fold 3 的 UP AUC 僅 0.4995，接近隨機，顯示上漲訊號在市場轉折期預測困難度最高。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D+1 範圍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D+5 範圍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D+20 範圍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 – 0.60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 – 0.64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 – 0.66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 – 0.69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 – 0.69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 – 0.67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 – 0.61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 – 0.61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 – 0.62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LogLoss vs. 類別先驗基線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所有模型 LogLoss（1.067–1.077）均低於僅猜訓練集類別分佈的先驗基線（1.089–1.100），降幅約 2–3%，證明模型確實學到了超越隨機的訊號。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五、ICIR 信號穩定性分析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ICIR（Information Coefficient Information Ratio）= mean(daily Rank IC) / std(daily Rank IC)，衡量因子選股能力的穩定性。這是整個專案最核心的發現。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400"/>
        <w:gridCol w:w="1700"/>
        <w:gridCol w:w="19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D+1 ICIR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D+5 ICIR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D+20 ICIR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D+20 Mean IC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D+20 Std IC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0.0592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0.0795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0.0559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0.0731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Ensemble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0.0583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0.0767</w:t>
            </w:r>
          </w:p>
        </w:tc>
      </w:tr>
    </w:tbl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關鍵洞察：</w:t>
      </w:r>
      <w:r>
        <w:rPr>
          <w:rFonts w:ascii="Arial" w:cs="Arial" w:eastAsia="Arial" w:hAnsi="Arial"/>
          <w:sz w:val="22"/>
          <w:szCs w:val="22"/>
        </w:rPr>
        <w:t xml:space="preserve">D+20 的 ICIR 達 0.74–0.77，遠超量化研究中 0.5 的「良好」門檻。IC 標準差僅 0.07–0.08，表明月度預測排序能力極為穩定。反之，D+1/D+5 的 ICIR 接近零（0.02–0.07），日間 IC 波動極大（std 0.20–0.22），短線信號實戰不可靠。Alpha 信號在月度頻率真實且穩定，在日/週頻率信噪比過低。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ic_timeseries_ensemble_D20.png" descr="ic_timeseries_ensemble_D20.png" title="ic_timeseries_ensemble_D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圖：D+20 Ensemble IC 時間序列與 20 日滾動均值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六、策略回測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回測架構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策略為 Long-only 等權組合，買入模型預測 UP 機率最高的前 10% 股票，依 horizon 週期 rebalance。交易成本涵蓋三種情境：標準（手續費全額 0.1425% × 2 + 證交稅 0.3% + 滑價 0.1% × 2 = 0.485%）、折扣（券商六折手續費 = 0.20%）、保守（高滑價 = 0.70%）。換手率採實際計算而非固定假設。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D+20 策略表現（最佳策略）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800"/>
        <w:gridCol w:w="186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LGB 折扣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 折扣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 折扣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基準（等權）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年化報酬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+11.54%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+13.92%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+13.34%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-2.43%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0.694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-0.059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Sortino Ratio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-0.073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-17.99%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-16.50%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-17.51%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-14.52%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-0.168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勝率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58.08%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60.70%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58.95%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57.76%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Rebalance 次數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平均換手率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75.15%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76.58%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75.16%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XGBoost D+20 為最佳策略</w:t>
      </w:r>
      <w:r>
        <w:rPr>
          <w:rFonts w:ascii="Arial" w:cs="Arial" w:eastAsia="Arial" w:hAnsi="Arial"/>
          <w:sz w:val="22"/>
          <w:szCs w:val="22"/>
        </w:rPr>
        <w:t xml:space="preserve">，在所有成本情境下均維持正報酬（Standard: +10.61%, Discount: +13.92%, Conservative: +8.50%）。相較基準 -2.43%，超額年化報酬達 +16.35%。Sharpe 0.72、Sortino 0.93，風險調整後報酬穩健。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cumulative_returns_D20.png" descr="cumulative_returns_D20.png" title="cumulative_returns_D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圖：D+20 策略累積報酬曲線 vs. 基準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drawdown_D20.png" descr="drawdown_D20.png" title="drawdown_D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圖：D+20 策略回撤走勢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各 Horizon 策略比較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100"/>
        <w:gridCol w:w="1060"/>
        <w:gridCol w:w="1500"/>
        <w:gridCol w:w="260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最佳 Discount 報酬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ICIR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實際換手率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D+1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-18.77%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64%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不可行（成本主導）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D+5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+8.61%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邊際可行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D+20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+13.92%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77%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穩健可行</w:t>
            </w:r>
          </w:p>
        </w:tc>
      </w:tr>
    </w:tbl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D+20 雖然單次換手率最高（77%），但全年僅 rebalance 15 次，年化交易成本極低。D+1 則反之，233 次 rebalance 累積巨大成本完全吞噬選股 alpha。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七、模型可解釋性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SHAP 特徵重要度分析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使用 SHAP TreeExplainer 分析 UP 類別的特徵貢獻，揭示模型決策邏輯。D+20 模型中基本面因子（gross_margin、cost_of_revenue）重要度顯著上升，符合長期預測更依賴基本面的金融直覺。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shap_summary_xgboost_D20.png" descr="shap_summary_xgboost_D20.png" title="shap_summary_xgboost_D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圖：XGBoost D+20 SHAP Summary Plot（UP 類別）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跨模型特徵重要度共識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risk_market_ret_20d（20 日大盤報酬）與 event_news_count（新聞數量）在 LightGBM 與 XGBoost 中均居首位。trend_volatility_20/60 為短期關鍵因子。估值因子（PE、PE_rank）在所有 horizon 中穩定貢獻。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feature_importance_xgboost_D20.png" descr="feature_importance_xgboost_D20.png" title="feature_importance_xgboost_D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圖：XGBoost D+20 特徵重要度排名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model_comparison.png" descr="model_comparison.png" title="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圖：模型比較總覽（AUC / Sharpe / IC）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八、分類效果與穩定性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混淆矩陣</w:t>
      </w:r>
    </w:p>
    <w:p>
      <w:pPr>
        <w:spacing w:after="200" w:before="12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confusion_matrix_xgboost_D20.png" descr="confusion_matrix_xgboost_D20.png" title="confusion_matrix_xgboost_D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圖：XGBoost D+20 混淆矩陣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Fold 穩定性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各 Fold 間 AUC 波動約 0.02–0.04，Fold 3（2025 Q1 市場環境變化期）一致是表現最弱的 Fold，但仍通過品質門檻。Expanding window 訓練策略確保模型隨資料累積持續進化。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fold_stability.png" descr="fold_stability.png" title="fold_st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圖：跨 Fold AUC 穩定性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月報酬熱力圖</w:t>
      </w:r>
    </w:p>
    <w:p>
      <w:pPr>
        <w:spacing w:after="20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monthly_returns_ensemble_D20.png" descr="monthly_returns_ensemble_D20.png" title="monthly_returns_ensemble_D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圖：D+20 Ensemble 月報酬分佈熱力圖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九、品質門控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系統設計 7 項品質門檻，全部通過：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品質門檻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所有模型完成訓練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個模型 × 4 Fold 全部成功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 門檻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 AUC &gt; 0.52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 數量充足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Folds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無資料洩漏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Purged + Embargo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OOF 預測有效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無全 NaN 預測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特徵穩定性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Jaccard = 0.937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最佳模型 IC 為正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 &gt; 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十、系統架構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10.1 程式碼統計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程式碼行數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src/data/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2,457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資料載入/清洗/標籤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特徵工程/篩選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src/models/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模型訓練/CV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src/backtest/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489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策略回測/績效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src/visualization/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種圖表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配置/日誌/工具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入口腳本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839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1/2 管線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5,838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10.2 技術棧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Python 3.10 | LightGBM + XGBoost | Optuna HPO | scikit-learn | pandas | SHAP | matplotlib | FinMind API | Parquet 儲存 | Loguru 日誌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十一、結論與建議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11.1 核心結論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本系統在方法論上達到機構級量化研究的嚴謹度：PIT 財報處理杜絕前視偏差、Purged Walk-Forward CV 確保評估可信度、三成本情境回測提供實務參考、ICIR 分析揭示清晰的 alpha 頻率結構。D+20 月度策略在最保守成本假設下仍有年化 +8.50% 報酬和 Sharpe 0.49，為學術專案提供了具說服力的實證結果。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11.2 策略建議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首選策略為 D+20 月度 rebalance，搭配折扣券商可達 Sharpe 0.72。D+5 週度策略作為備選，需搭配更嚴格的換手率控制。D+1 日度策略在當前成本結構下不具可行性，但作為對照組具有教學價值。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11.3 已知限制與後續方向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流動性篩選器已修復欄位對應（volume），下次執行即可啟用，預計篩除約 55% 低流動性股票。事件特徵目前僅有新聞計數，未來可加入情緒分數。可考慮加入 per-horizon 獨立特徵選擇、因子正交化、模型序列化等進階功能。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台灣股市多因子預測系統 — 專案報告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c0808768a4ad7d744d5be3a05560d7abbf3a8be.png"/><Relationship Id="rId10" Type="http://schemas.openxmlformats.org/officeDocument/2006/relationships/image" Target="media/db816dec8ed5cec7db2341a51857f7bf8cac5e85.png"/><Relationship Id="rId11" Type="http://schemas.openxmlformats.org/officeDocument/2006/relationships/image" Target="media/f33feedde35ef0dd8942d598c3c2acbd7239d13e.png"/><Relationship Id="rId12" Type="http://schemas.openxmlformats.org/officeDocument/2006/relationships/image" Target="media/8c3b97f9cba6108535bc190c9334fc4c96a61824.png"/><Relationship Id="rId13" Type="http://schemas.openxmlformats.org/officeDocument/2006/relationships/image" Target="media/0a66e25780d0c74c2f18caa551a9312a8ed5ff75.png"/><Relationship Id="rId14" Type="http://schemas.openxmlformats.org/officeDocument/2006/relationships/image" Target="media/45a94acf9dd7c30f9c8b0d46f3ed3511140287de.png"/><Relationship Id="rId15" Type="http://schemas.openxmlformats.org/officeDocument/2006/relationships/image" Target="media/94136d5d68ece3ff6ac461189e419b71d8bf60b3.png"/><Relationship Id="rId16" Type="http://schemas.openxmlformats.org/officeDocument/2006/relationships/image" Target="media/ec14c25651783d79e1708c2d986d1235626394cc.png"/><Relationship Id="rId17" Type="http://schemas.openxmlformats.org/officeDocument/2006/relationships/image" Target="media/71450aa2cd768fa3ab630a93c757531b07831d4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2026-04-04T21:31:58.459Z</dcterms:created>
  <dcterms:modified xsi:type="dcterms:W3CDTF">2026-04-04T21:31:58.459Z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