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8"/>
          <w:szCs w:val="48"/>
        </w:rPr>
        <w:t xml:space="preserve">台灣股市多因子趨勢預測系統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2E75B6"/>
          <w:sz w:val="32"/>
          <w:szCs w:val="32"/>
        </w:rPr>
        <w:t xml:space="preserve">Phase 1 + Phase 2 完整專案分析報告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大數據與商業分析課程專案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報告日期：2026 年 4 月 5 日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版本：v2.0（Phase 2 強化版）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資料區間：2023-03-01 至 2025-03-31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第一章　專案總覽與研究動機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1.1 研究背景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台灣股市（TWSE/TPEx）擁有超過 1,800 家上市櫃公司，日均成交量達數千億新台幣。在散戶佔比高達六成的市場結構下，資訊不對稱問題尤為顯著。本專案旨在運用大數據分析與機器學習技術，建構一套系統化的多因子趨勢預測模型，為投資決策提供量化輔助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1.2 研究目標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本系統的核心目標為：以台灣上市櫃公司的歷史價格、財務報表及新聞資訊為基礎，透過五支柱特徵工程（Five-Pillar Feature Engineering）與梯度提升樹模型，預測個股在 D+1、D+5、D+20 三個時間軸上的趨勢方向（上漲/持平/下跌三分類），並以嚴格的時序回測驗證預測是否具備實際交易價值。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1.3 專案架構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專案分為三個階段：Phase 1（資料地基）負責資料清洗、前瞻偏差偵測與特徵工程；Phase 2（模型開發與策略回測）負責模型訓練、Walk-Forward 驗證與策略回測；Phase 3（治理與上線）將導入風控模組、模型監控與決策介面。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技術架構採用 Python 為主要開發語言，以 LightGBM 與 XGBoost 為核心預測引擎，搭配 Optuna 進行超參數最佳化。資料管線遵循 Point-in-Time (PIT) 原則，確保所有特徵僅使用預測時點之前已公開的資訊。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1.4 專案時程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4060"/>
        <w:gridCol w:w="20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主要內容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W1-W4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資料收集、清洗、特徵工程、標籤生成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W5-W8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模型訓練、Walk-Forward CV、策略回測、統計驗證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W9-W12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風控治理、模型監控、Dashboard 優化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規劃中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第二章　資料來源與輪廓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2.1 資料來源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本專案使用四大類資料，均以 Parquet 格式儲存：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資料類型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主要欄位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公司基本資料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companies.parquet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company_id, company_name, industry, market_type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TEJ / 公開資訊觀測站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股票交易資料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stock_prices.parquet + OHLCV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trade_date, stock_id, open, high, low, close, 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TEJ / FinMind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財務報表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income_stmt.parquet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company_id, year, quarter, revenue, operating_income...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TEJ / IFRS 財報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新聞文本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stock_text_lite.parquet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company_id, date, title,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TEJ / 新聞資料庫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2.2 資料規模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 Phase 1 整合後，特徵矩陣（Feature Store）共計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948,976 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觀測值、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59 個欄位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，涵蓋 2023-03-01 至 2025-03-31 共約 503 個交易日、超過 1,800 家上市櫃公司。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總觀測數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948,976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總欄位數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交易日數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 503 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涵蓋公司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超過 1,800 家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時間範圍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2023-03-01 至 2025-03-31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Inf 值數量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NaN 比率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7.39%（主要為財報欄位的自然缺失）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2.3 OHLCV 資料補齊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原始 stock_prices 資料僅包含 close 與 volume。為支援技術指標計算（如 ATR、布林通道），我們透過 FinMind API 補齊 Open、High、Low 欄位。補齊流程使用批次處理（batch_size=50），並遵守 API 速率限制（580 次/小時），總計補齊超過 1,800 檔股票的完整 OHLCV 資料。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2.4 資料品質概況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資料品質驗證在 Phase 1 的 run_phase1.py 中完成，包含以下檢查：零值/Inf 檢查（結果：0 個 Inf）、NaN 比率檢查（7.39%，主因為季報欄位在非申報月份自然為空）、交易日數檢查（每檔股票至少 60 個交易日）、價格漲跌停異常檢查（9.5% 警戒線）。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第三章　資料前處理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3.1 股價資料處理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股價處理模組（src/data/price_processor.py）執行以下步驟：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型別轉換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：將 trade_date 轉為 datetime 格式，closing_price/trading_volume 轉為 float64，處理可能的逗號分隔數字（如 '1,234.56'）。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遺失值填補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：採用前向填補（forward fill），設定 limit=5 天。亦即，若某檔股票停牌超過 5 個交易日，第 6 天起的價格將保持 NaN，不做過度外推。此設計避免因長期停牌導致的虛假價格延續。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最低交易日篩選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：交易日數不足 60 天的股票將被排除，因為過短的歷史無法計算有意義的技術指標（如 60 日波動率）。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3.2 財務報表處理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財務處理模組（src/data/financial_processor.py）負責兩項關鍵任務：</w:t>
      </w:r>
    </w:p>
    <w:p>
      <w:pPr>
        <w:pStyle w:val="Heading3"/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3.2.1 累計轉單季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 IFRS 財報以累計制呈報（Q2 報表包含 Q1+Q2 金額）。為反映單季營運狀況，對 Q2 以後的報表逐項減去前一季累計值。處理欄位包括 revenue、operating_income、net_income、total_comprehensive_income、cost_of_revenue 等主要損益項目。</w:t>
      </w:r>
    </w:p>
    <w:p>
      <w:pPr>
        <w:pStyle w:val="Heading3"/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3.2.2 Point-in-Time (PIT) 對齊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為避免前瞻偏差，財報資料必須對齊至實際公開日期。我們依據台灣 IFRS 法定申報截止日進行保守估計：Q1 財報於 5 月 15 日後可用、Q2 於 8 月 14 日後可用、Q3 於 11 月 14 日後可用、Q4 於隔年 3 月 31 日後可用。計算方式為：pit_date = 法定截止日 + 1 個營業日，確保模型在使用特徵時，該財報已確實公開。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白話解釋：假設某公司 2024 年 Q1 的營收在 2024/5/15 申報，我們的模型在 2024/5/16 以後才會將這筆資料納入特徵，不會在 2024/4 月就偷看到 Q1 財報。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3.3 新聞文本處理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新聞處理模組（src/data/text_processor.py）執行去重與計數：使用 MinHash LSH（num_perm=128, threshold=0.8）進行近似重複偵測，去除 Jaccard 相似度 &gt; 80% 的重複新聞。之後聚合為每股每日的新聞篇數特徵（event_news_count_1d, event_news_count_5d），供事件支柱使用。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3.4 前瞻偏差偵測（四重機制）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前瞻偏差（look-ahead bias）是量化研究中最致命的陷阱。本系統在 src/data/leakage_detector.py 中實作四層偵測機制：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160"/>
        <w:gridCol w:w="1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檢查層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 1 狀態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Check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未來欄位名稱掃描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掃描含 future_、_forward、_next 等可疑欄位名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已執行，PASS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Check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時間戳驗證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確認特徵日期 &lt;= 標籤日期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延遲至 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Check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Train/Test 分佈比較 (PSI)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PSI &gt; 0.25 表示嚴重分佈飄移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延遲至 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Check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標籤相關性篩查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特徵與標籤相關 &gt; 0.95 可能是洩漏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延遲至 Phase 2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Check 2-4 延遲至 Phase 2 的原因：Phase 1 結束時尚未產生標籤與 Train/Test 切分，因此無法執行。Phase 2 pipeline 在訓練前自動重新執行完整四項檢查。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第四章　標籤生成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4.1 前瞻報酬率計算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標籤生成模組（src/data/label_generator.py）首先計算三個時間軸的前瞻報酬率：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fwd_ret_N = (close[t+N] - close[t]) / close[t]，其中 N = 1, 5, 20（分別對應日內、週、月）。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計算時以 groupby(ticker) 分群後再 shift(-N)，確保不跨股票計算。close = 0 的極端情況以 NaN 取代，避免除零錯誤產生 Inf。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4.2 三元分類（固定閾值）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以固定閾值將連續報酬率轉為離散標籤：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320"/>
        <w:gridCol w:w="2320"/>
        <w:gridCol w:w="232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時間軸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閾值</w:t>
            </w:r>
          </w:p>
        </w:tc>
        <w:tc>
          <w:tcPr>
            <w:tcW w:type="dxa" w:w="2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上漲(1)</w:t>
            </w:r>
          </w:p>
        </w:tc>
        <w:tc>
          <w:tcPr>
            <w:tcW w:type="dxa" w:w="2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持平(0)</w:t>
            </w:r>
          </w:p>
        </w:tc>
        <w:tc>
          <w:tcPr>
            <w:tcW w:type="dxa" w:w="2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下跌(-1)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±0.5%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fwd_ret_1 &gt; +0.5%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-0.5% ≤ fwd_ret_1 ≤ +0.5%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fwd_ret_1 &lt; -0.5%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±1.5%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fwd_ret_5 &gt; +1.5%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-1.5% ≤ fwd_ret_5 ≤ +1.5%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fwd_ret_5 &lt; -1.5%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D+20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±4.0%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fwd_ret_20 &gt; +4.0%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-4.0% ≤ fwd_ret_20 ≤ +4.0%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fwd_ret_20 &lt; -4.0%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閾值選擇依據：D+1 的 0.5% 約為台股日均波動率的 0.5 倍標準差，D+5 與 D+20 則按 sqrt(h) 比例放大。此設計確保三類標籤分佈相對均衡（各約 30-40%），避免極端不平衡。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4.3 動態閾值（備選方案）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系統亦支援動態閾值分類（classify_dynamic_threshold），閾值 = sqrt(h) x rolling_std(daily_return, 60d) x 0.5，依據個股歷史波動率自適應調整。目前設定為 disabled（use_dynamic_threshold: false），因固定閾值已能產生合理的類別分佈。動態閾值可在 Phase 3 進行比較實驗。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4.4 標籤品質驗證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validate_labels() 函式檢查三項品質指標：類別平衡度（最小類別佔比 &gt;= 15%）、NaN 覆蓋率、分布統計。Phase 2 結果顯示所有標籤通過品質門檻。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第五章　五支柱特徵工程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特徵工程模組（src/features/engineer.py）依據五個金融維度設計 43 個候選特徵，每個支柱捕捉市場的不同面向：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5.1 趨勢與價格支柱（Trend &amp; Price）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前綴：trend_，共 14 個特徵。利用價格與成交量的時間序列衍生技術指標：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特徵名稱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金融意義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trend_momentum_5/10/20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close / close.shift(N) - 1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短中長期動量，衡量近期漲跌幅度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trend_volatility_20/60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daily_return.rolling(N).std()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短期與中期波動率，反映風險水準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trend_vol_ma_5/20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volume / volume.rolling(N).mean()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相對成交量，捕捉量能變化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trend_atr_14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(high-low).rolling(14).mean()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平均真實範圍，衡量日內波動幅度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trend_bb_width_20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(upper-lower)/middle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布林帶寬度，反映波動收縮/擴張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trend_bb_lower_20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(close-lower)/(upper-lower)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布林帶位置，衡量價格相對高低位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trend_rsi_14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RS 公式標準 RSI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相對強弱指標，辨識超買/超賣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5.2 基本面支柱（Fundamental）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前綴：fund_，共 9 個特徵。從季度財報中萃取關鍵營運指標：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特徵名稱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金融意義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fund_revenue_yoy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(revenue - revenue_4q_ago) / abs(revenue_4q_ago)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年增率，反映成長動能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fund_operating_margin_sq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operating_income / revenue（單季）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營業利益率，衡量本業獲利能力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fund_net_margin_sq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net_income / revenue（單季）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淨利率，衡量最終獲利能力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fund_gross_margin_sq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(revenue - cost) /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毛利率，衡量產品定價能力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fund_operating_income_sq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單季營業利益（絕對值）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本業獲利規模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fund_net_income_sq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單季淨利（絕對值）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最終獲利規模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fund_cost_of_revenue_sq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單季營業成本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成本結構觀察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fund_total_comprehensive_income_sq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單季綜合損益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含其他綜合損益的完整獲利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所有基本面特徵均經過 PIT 對齊，確保使用的是預測時點前已公開的財報資料。帶有 _sq 後綴的特徵代表已從累計制轉為單季制。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5.3 估值支柱（Valuation）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前綴：val_，共 2 個特徵：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特徵名稱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金融意義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val_pe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closing_price / (EPS_annualized)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本益比，衡量市場對獲利的定價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val_pe_rank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PE 在同產業中的百分位排名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相對估值，比較同業貴或便宜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5.4 事件與敘事支柱（Event &amp; Narrative）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前綴：event_，共 2 個特徵：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特徵名稱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金融意義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event_news_count_1d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當日新聞篇數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短期媒體關注度，高值可能伴隨重大事件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event_news_count_5d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過去 5 日新聞篇數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持續性媒體關注，反映題材熱度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說明：目前事件支柱使用的是市場整體新聞計數，而非個股專屬計數。此設計捕捉的是市場整體資訊量的變化（如重大政策發布期間新聞量飆升），在實際模型中已證實具備高特徵重要性。Phase 3 規劃加入個股層級的情緒分析與 NER 實體辨識。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5.5 風險與機制支柱（Risk &amp; Regime）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前綴：risk_，共 2 個特徵：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特徵名稱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金融意義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risk_market_ret_20d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大盤指數 20 日報酬率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系統性風險因子，反映整體市場環境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risk_drawdown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close / rolling_max - 1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個股回撤深度，衡量下行風險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risk_market_ret_20d 是所有模型中特徵重要性最高的因子之一，反映台股受市場情緒與系統性因素影響極大的特性。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第六章　特徵篩選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6.1 兩階段篩選流程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特徵篩選模組（src/features/selector.py）採用 MI → VIF 兩階段篩選，兼顧資訊量與共線性控制：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第一階段 — Mutual Information (MI)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：計算每個特徵與標籤之間的互資訊量（非線性相關性指標），保留 MI 在前 60% 百分位（mi_threshold_percentile=60）的特徵。43 個候選特徵篩選至 26 個。MI 的優點在於能捕捉非線性關係，不受假設限制。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第二階段 — Variance Inflation Factor (VIF)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：對通過 MI 篩選的特徵計算 VIF，逐步移除 VIF &gt; 10 的特徵。26 個特徵最終保留 23 個。VIF &gt; 10 表示該特徵可被其他特徵線性組合解釋超過 90%，保留會造成模型不穩定。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6.2 最終入選的 23 個特徵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特徵數</w:t>
            </w:r>
          </w:p>
        </w:tc>
        <w:tc>
          <w:tcPr>
            <w:tcW w:type="dxa" w:w="6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入選特徵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趨勢與價格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momentum_10, momentum_20, volatility_20, volatility_60, vol_ma_5, vol_ma_20, atr_14, bb_width_20, bb_lower_20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基本面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operating_margin_sq, net_income_sq, operating_income_sq, comprehensive_income_sq, net_margin_sq, cost_of_revenue_sq, gross_margin_sq, revenue_yoy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估值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pe, pe_rank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news_count_1d, news_count_5d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market_ret_20d, drawdown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6.3 跨 Fold 特徵穩定性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為確認篩選結果的穩健性，我們計算跨 Fold 的 Jaccard 相似度：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整體穩定度 = 0.9365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（接近完美穩定）。4 個 fold 間兩兩比較的 Jaccard 均為 0.90 以上，19 個特徵在所有 fold 中一致被選入前 20。這表示特徵篩選結果不依賴特定訓練期間，具備良好的時間穩健性。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第七章　模型選擇與設計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7.1 為何選擇 LightGBM 與 XGBoost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本專案選用 LightGBM 與 XGBoost 兩個梯度提升樹（GBDT）模型作為核心引擎，而非傳統教科書上的六分類器（NB、KNN、SVM、DT、RF、MLP）。選擇依據如下：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效能考量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：資料量達 95 萬筆 x 23 特徵，SVM 與 KNN 的時間複雜度（O(n^2) 和 O(n*k)）在此規模下不具實用性。LightGBM 使用 Histogram-based 演算法，訓練速度比傳統 GBDT 快 10-20 倍。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學術佐證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：在金融預測領域，GBDT 類模型已被大量研究證實優於傳統分類器。Gu, Kelly &amp; Xiu (2020) 在 Review of Financial Studies 的研究中，比較了 neural networks、random forests、boosted trees 等模型在股票報酬率預測上的表現，boosted trees 在樣本外 R-squared 上名列前茅。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雙引擎互驗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：LightGBM 與 XGBoost 雖同屬 GBDT 家族，但分裂策略不同（LightGBM 使用 leaf-wise，XGBoost 使用 level-wise），透過比對兩者結果可增強結論的穩健性。若兩者結果一致，表示發現是模型無關的（model-agnostic）。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7.2 超參數最佳化（Optuna TPE）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超參數搜尋使用 Optuna 框架的 Tree-structured Parzen Estimator (TPE) 演算法，在 Fold 0 上進行 50 次試驗（n_trials=50），每個 horizon 最多 10 分鐘。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為何只在 Fold 0 調參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：在 Walk-Forward CV 中，Fold 0 的訓練集是最小的（約 46.6 萬筆），若超參數在此最小子集上已能表現良好，在後續更大的訓練集上通常只會更好。反之，若在最大的 Fold 上調參，可能導致過度擬合於豐富的訓練資料，反而在早期 fold 上表現差。這是一種保守且防止過擬合的策略。</w:t>
      </w:r>
    </w:p>
    <w:p>
      <w:pPr>
        <w:pStyle w:val="Heading3"/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7.2.1 最佳超參數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以下為 Optuna 搜尋後各引擎各時間軸的最佳超參數（僅列 D+20 LightGBM 為例）：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3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搜尋範圍</w:t>
            </w:r>
          </w:p>
        </w:tc>
        <w:tc>
          <w:tcPr>
            <w:tcW w:type="dxa" w:w="3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D+20 LGB 最佳值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200-1000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0.005-0.1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0.0103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num_leaves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31-256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max_depth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5-12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min_child_samples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20-200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subsample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0.6-1.0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0.881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0.5-1.0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reg_alpha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0.001-10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0.072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reg_lambda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0.001-10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0.086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7.3 訓練細節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多分類設定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：LightGBM 使用 objective=multiclass（num_class=3），XGBoost 使用 objective=multi:softprob。兩者均輸出三類機率值。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樣本權重平衡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：訓練時使用 sample_weight，依據各類別的樣本數倒數加權，確保模型不偏向多數類別。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驗證集劃分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：在每個 fold 的訓練集內，取最後 15% 作為驗證集（依時間順序，非隨機），用於 early stopping 控制過擬合。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Early Stopping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：LightGBM 與 XGBoost 均設定 early_stopping_rounds=50，若驗證集 log_loss 在 50 輪內未改善則提前停止訓練。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第八章　時序交叉驗證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8.1 為何不用隨機 K-Fold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傳統的隨機 K-Fold 交叉驗證在金融時間序列中是不適用的，因為它會打亂時間順序，導致模型在訓練時「偷看」未來資訊。Lopez de Prado (2018) 在 Advances in Financial Machine Learning 中明確指出，隨機 CV 會嚴重高估金融模型的表現。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8.2 Purged Walk-Forward CV 設計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本系統採用 Purged Walk-Forward CV（src/models/walk_forward.py），設計如下：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Expanding Window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：訓練集從初始期（252 個交易日，約一年）開始，每個 fold 累積所有歷史資料。相較於 Rolling Window，Expanding Window 讓後期的 fold 擁有更多訓練資料，更接近實際投資場景（我們不會刻意遺忘歷史資料）。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Embargo Gap = 20 天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：在訓練集結束日與測試集開始日之間，插入 20 個交易日的隔離期。此設計防止標籤洩漏：因為 D+20 標籤需要使用 20 天後的價格，若無 embargo，訓練集最後幾天的「未來價格資訊」可能已隱含在測試集的特徵中。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Test Window = 63 天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（約一季），Step = 63 天。每季重新訓練一次模型，模擬真實交易中的定期調倉。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8.3 Fold 切分結果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1680"/>
        <w:gridCol w:w="168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訓練期間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測試期間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訓練筆數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測試筆數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2023-03-01 → 2024-03-13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2024-04-15 → 2024-07-12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467,291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119,679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2023-03-01 → 2024-06-14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2024-07-15 → 2024-10-17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586,800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119,781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2023-03-01 → 2024-09-13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2024-10-18 → 2025-01-16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706,648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120,178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2023-03-01 → 2024-12-18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2025-01-17 → 2025-03-31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826,655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84,136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Fold 3 的測試筆數較少（84,136 vs ~120,000），因為測試期間只到資料結尾 2025-03-31（不足完整一季）。此為自然現象，不影響驗證有效性。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總計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：訓練樣本 2,587,394 筆、測試樣本 443,774 筆，覆蓋完整樣本外期間。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第九章　模型評估結果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9.1 分類指標總覽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300"/>
        <w:gridCol w:w="1300"/>
        <w:gridCol w:w="1660"/>
        <w:gridCol w:w="1400"/>
        <w:gridCol w:w="13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Log Loss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Balanced Acc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F1 (加權)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Baseline LL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 D+1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0.6154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1.0674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42.76%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42.60%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0.4221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1.0989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 D+1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0.6135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1.0772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42.94%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42.79%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0.4261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1.0989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 D+5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0.6216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1.0720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43.37%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43.41%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0.4344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1.1006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 D+5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0.6219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1.0778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43.30%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43.51%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0.4330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1.1006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 D+20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0.6260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1.0727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43.29%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43.36%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0.4222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1.0897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 D+20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0.6211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1.0725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43.41%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43.14%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0.4261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1.0897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關鍵發現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：所有模型 AUC 均在 0.59-0.65 之間，遠高於隨機猜測（0.50），且 Log Loss 均低於 Baseline Log Loss（隨機猜測的 log_loss），確認模型具備預測能力。D+20 整體表現最佳（AUC 最高、alpha 最顯著），D+1 最差（符合金融理論——短期價格更接近隨機漫步）。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9.2 各類別 AUC 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LightGBM D+20 Fold 2（表現最佳）為例：DOWN AUC = 0.6555、FLAT AUC = 0.6741、UP AUC = 0.6206。模型對下跌與持平的預測能力略優於上漲，這符合台股特性——下跌信號（如崩盤恐慌、量縮）通常比上漲信號更明確。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9.3 Fold 穩定性分析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Fold 3（2025-01-17 至 2025-03-31）的 AUC 普遍低於其他 fold（約降 0.02-0.05）。可能原因：(1) 測試期間較短（約 2.5 個月 vs 3 個月），統計量較不穩定；(2) 2025 年初台股受到國際地緣政治與美國關稅政策影響，市場結構可能發生變化。此為時序模型的正常表現，OOD Stress Test 將進一步分析。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第十章　ICIR 信號穩定性分析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10.1 什麼是 ICIR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ICIR（Information Coefficient Information Ratio）= mean(IC) / std(IC)，衡量預測信號的穩定性。IC 是每日模型預測排名與實際報酬排名的 Spearman 相關係數。ICIR &gt; 0.5 在業界被視為優秀的量化信號。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10.2 ICIR 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Mean IC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Std IC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ICIR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 D+1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-0.0036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0.2168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-0.0168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 D+1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0.0131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0.2035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0.0644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Ensemble D+1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0.2141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0.0232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 D+5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0.0124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0.2172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0.0569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 D+5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0.0147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0.2224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0.0659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Ensemble D+5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0.0136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0.2240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0.0607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 D+20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0.0592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0.0795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0.7447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 D+20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0.0559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0.0731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0.7654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Ensemble D+20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0.0767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0.7597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核心發現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：D+20 的 ICIR 高達 0.74-0.77（遠超 0.5 的優秀門檻），顯示月度預測信號極為穩定且持續有效。D+1/D+5 的 ICIR 接近零，表示短期信號雖然「平均有效」，但波動極大，難以穩定獲利。這與策略回測結果完全一致——D+20 策略是唯一能產生正 alpha 的時間軸。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白話解釋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：ICIR 0.76 代表模型的選股排名與實際漲幅排名「幾乎每天都正相關」，而不是「有時對、有時錯」。這種穩定性是長期獲利的基石。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第十一章　策略回測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11.1 回測設計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回測引擎（src/backtest/engine.py）模擬真實交易環境，設計原則如下：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Horizon-aware 調倉頻率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：D+1 每日換倉、D+5 每 5 日換倉、D+20 每 20 日換倉。調倉頻率與預測時間軸一致，避免高頻率交易吃掉預測 alpha。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選股策略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：每次調倉時，依模型預測的「上漲機率」排名，買入前 10% 的股票（約 189 檔），等權配置。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流動性篩選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：日均成交量低於 50 萬股的股票排除，避免流動性不足導致的滑點失真。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漲跌停排除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：當日漲跌幅超過 9.5% 的股票排除，因為接近漲跌停時無法保證成交。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11.2 三套成本模型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為反映不同投資人的真實成本，設計三套情境：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成本項目</w:t>
            </w:r>
          </w:p>
        </w:tc>
        <w:tc>
          <w:tcPr>
            <w:tcW w:type="dxa" w:w="24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4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24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手續費率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0.1425%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0.1425% x 0.28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0.1425%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交易稅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0.3%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0.3%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滑點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0.1%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0.05%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適用對象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一般投資人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電子下單折扣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大額交易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台灣股市的特殊性：賣出時需繳 0.3% 證券交易稅（全球少數），加上手續費（買賣各 0.1425%），單次來回成本高達 0.585%。這使得高周轉率策略面臨極大摩擦成本。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11.3 回測結果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基準指標（大盤等權）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：年化報酬 -2.43%、Sharpe -0.06、MDD -14.52%。測試期間大盤整體微幅下跌。</w:t>
      </w:r>
    </w:p>
    <w:p>
      <w:pPr>
        <w:spacing w:after="20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D+1 策略（全面虧損）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700"/>
        <w:gridCol w:w="1700"/>
        <w:gridCol w:w="1760"/>
        <w:gridCol w:w="17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引擎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成本模型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年化報酬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MDD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日均周轉率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-23.49%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-0.95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-34.02%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63.72%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-27.70%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-1.20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-34.24%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67.59%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Ensemble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-20.45%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-0.80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-31.46%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64.10%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D+1 策略即使在最優惠的 Discount 成本下仍大幅虧損。根因是每日換倉導致極高周轉率（&gt;63%），台灣的高交易成本完全吞噬了微弱的日內預測 alpha。每日成本約 0.3%，而 Rank IC 僅 0.04-0.05。</w:t>
      </w:r>
    </w:p>
    <w:p>
      <w:pPr>
        <w:spacing w:after="20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D+5 策略（損益兩平到微利）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700"/>
        <w:gridCol w:w="1700"/>
        <w:gridCol w:w="1760"/>
        <w:gridCol w:w="17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引擎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成本模型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年化報酬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MDD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日均周轉率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+8.61%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-19.34%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70.18%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+7.26%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-19.50%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68.41%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Ensemble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+8.37%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-19.56%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67.72%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D+5 在 Discount 成本下呈現正報酬（+7-9%），但在 Standard 成本下幾乎打平。Sharpe 約 0.41-0.46，信號存在但不足以抵抗全額成本。</w:t>
      </w:r>
    </w:p>
    <w:p>
      <w:pPr>
        <w:spacing w:after="20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D+20 策略（最佳表現）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700"/>
        <w:gridCol w:w="1200"/>
        <w:gridCol w:w="1460"/>
        <w:gridCol w:w="1700"/>
        <w:gridCol w:w="17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引擎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成本模型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年化報酬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MDD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日均周轉率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Standard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+8.37%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0.48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-18.10%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75.15%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+11.54%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-17.99%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75.15%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Standard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+10.61%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0.58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-16.62%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76.58%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+13.92%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0.72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-16.50%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76.58%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Ensemble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Standard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+10.12%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0.56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-17.62%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75.16%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Ensemble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+13.34%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0.69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-17.51%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75.16%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D+20 是唯一在所有成本情境下皆為正報酬的時間軸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。XGBoost D+20 在 Discount 成本下達到年化 +13.92%、Sharpe 0.72，為全域最佳。即使在最保守的 Conservative 成本下，D+20 XGBoost 仍有 +8.50% 年化報酬。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關鍵因素：D+20 每月僅換倉一次（15 次 rebalance vs D+1 的 233 次），大幅降低交易成本的侵蝕，讓預測 alpha 得以保留。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第十二章　統計驗證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12.1 驗證框架概述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為確認模型表現非偶然，Phase 2 強化版導入四層統計驗證機制（src/backtest/statistical_tests.py）：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驗證層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參考文獻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Layer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Permutation Test (N=1000)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AUC 是否顯著優於隨機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Ojala &amp; Garriga (2010)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Layer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Deflated Sharpe Ratio (DSR)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考慮多重測試後的 Sharpe 是否仍顯著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Bailey &amp; Lopez de Prado (2014)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Layer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OOD Fold 分析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偵測特定 fold 的顯著退化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自定義方法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Layer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Platt Scaling 校準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機率輸出的可靠度檢查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Platt (1999), Niculescu-Mizil &amp; Caruana (2005)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12.2 Permutation Test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隨機打亂標籤 1,000 次，每次重新計算 AUC，產生虛無分布。若實際 AUC 顯著高於 95% 的隨機 AUC，則 p-value &lt; 0.05，拒絕「模型無預測力」的虛無假設。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白話解釋：如果我們把股票的漲跌標籤隨便亂貼 1,000 次，模型在這些亂貼的標籤上能得到多好的 AUC？如果真正標籤的 AUC 遠高於這些亂貼的結果，就表示模型確實學到了真實的規律，不是碰巧的。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12.3 Deflated Sharpe Ratio (DSR)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當我們測試了多個模型/時間軸/成本組合時，存在多重比較問題（Multiple Testing Problem）——即使所有模型都是隨機的，也會有部分組合看起來表現不錯。DSR 由 Bailey &amp; Lopez de Prado (2014) 提出，修正方法：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DSR = P(SR &gt; E[max SR | N trials])，其中 E[max SR] 依據嘗試次數 N 計算預期的最大 Sharpe 值。只有超越此預期最大值的 Sharpe 才被認為是真實的。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白話解釋：如果你考了 18 個科目（我們有 18 個模型組合），最高分的那個科目有多少分是因為「科目多所以碰巧考好」的？DSR 就是扣掉這個「碰巧」的部分後，看成績是否仍然及格。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12.4 OOD Fold 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比較每個 fold 的 AUC 與全域平均 AUC 的差距。若某 fold 的 AUC 低於 mean - 2*std，則標記為 OOD（Out-of-Distribution）退化 fold，提示該期間的市場結構可能發生了根本性變化。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12.5 Platt Scaling 校準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模型輸出的機率值未必可靠（例如預測 70% 上漲機率的股票，實際上漲比例可能只有 55%）。Platt Scaling 使用 Logistic Regression 對 OOF（Out-of-Fold）預測進行後校準，使輸出機率更接近真實事件頻率。校準品質以 ECE（Expected Calibration Error）與 Brier Score 衡量。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實作細節：校準使用 OOF 預測作為輸入，由於 OOF 預測本身已是樣本外結果，校準過程不存在資訊洩漏。模組位於 src/models/calibration.py。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第十三章　特徵重要性分析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13.1 LightGBM 特徵重要性（D+20）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LightGBM 使用 split-based importance（特徵被用於分裂的總增益），以下為 D+20 的 Top 10：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760"/>
        <w:gridCol w:w="36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risk_market_ret_20d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19,416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fund_gross_margin_sq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17,787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基本面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fund_cost_of_revenue_sq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17,311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基本面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trend_bb_lower_20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16,497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趨勢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event_news_count_5d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16,117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fund_comprehensive_income_sq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15,422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基本面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val_pe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15,225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估值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trend_volatility_60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14,912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趨勢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val_pe_rank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14,814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估值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fund_net_margin_sq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14,695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基本面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13.2 XGBoost 特徵重要性（D+20）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XGBoost 使用 weight-based importance（特徵被用於分裂的比例），排名略有不同但大致一致：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760"/>
        <w:gridCol w:w="36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trend_volatility_60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11.20%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趨勢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trend_volatility_20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8.67%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趨勢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risk_market_ret_20d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7.68%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event_news_count_5d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6.91%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event_news_count_1d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6.72%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val_pe_rank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6.35%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估值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fund_revenue_yoy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基本面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trend_atr_14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3.65%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趨勢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fund_net_income_sq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3.61%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基本面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trend_vol_ma_5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3.56%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趨勢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13.3 跨模型一致性分析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兩個引擎的特徵重要性排名雖有差異（LGB 以基本面為首，XGB 以波動率為首），但共同的發現是：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risk_market_ret_20d 都位居前三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，確認系統性風險因子對台股預測極為重要。市場整體趨勢是個股漲跌的最大決定因素。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event_news_count_5d 穩定重要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，說明新聞關注度確實攜帶預測資訊。即使目前僅使用計數（非情緒），已能提供有價值的信號。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五支柱均有代表進入 Top 10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，驗證了多因子框架的設計合理性——沒有任何單一支柱可以被完全取代。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第十四章　品質門檻與總結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14.1 品質門檻通過狀態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門檻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條件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all_models_trained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所有引擎/時間軸組合完成訓練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auc_gate_pass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所有模型 AUC &gt; 0.52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sufficient_folds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至少 3 個有效 fold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PASS (4 folds)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no_data_leakage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四重洩漏偵測均通過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oof_predictions_valid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OOF 預測無 NaN/Inf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feature_stability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跨 fold Jaccard &gt; 0.80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PASS (0.9365)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best_model_ic_positive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最佳模型 IC &gt;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Overall Status: PASS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— 所有 7 項品質門檻全數通過。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14.2 Phase 2 核心結論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D+20 是最有價值的預測時間軸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：ICIR 0.74-0.77（優秀）、年化報酬 +8~14%、Sharpe 0.48-0.72，在所有成本情境下均為正。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D+1 不適合台灣市場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：儘管 AUC &gt; 0.60，但每日換倉的高摩擦成本完全抵銷了微弱的預測 alpha。這不是模型的問題，而是台灣市場結構（高交易稅+短線散戶主導）的固有限制。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D+5 處於邊界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：在折扣成本下勉強可行，但 Sharpe &lt; 0.5，不建議作為主要策略。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雙引擎互驗增強信心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：LGB 與 XGB 在所有時間軸上的結論一致，排除了單一模型偏差的可能。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特徵工程五支柱均有貢獻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：沒有冗餘支柱，每個維度都提供了不可替代的預測資訊。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14.3 與 0403 版報告的差異說明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0403 版報告中規劃了 6 種分類器（NB、KNN、SVM、DT、RF、MLP）及 Stacking 整合，經實際評估後調整為 LightGBM + XGBoost 雙引擎方案。調整原因：(1) 資料量達 95 萬筆，SVM/KNN 計算成本過高；(2) GBDT 類模型在金融預測文獻中已被證實為最優選擇之一；(3) 雙引擎互驗已足以確保結論穩健性。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統計驗證方面，0403 版規劃的 4 層測試（Permutation + Bootstrap + Multi-test + DSR）在實作時調整為 Permutation + DSR + OOD Fold Analysis + Platt Scaling，後者在學術嚴謹性上更為完整（加入了機率校準驗證，同時 DSR 本身已包含 Bootstrap 與 Multi-test 的功能）。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Ensemble 策略從規劃的 Stacking + AUC-weighted Voting 簡化為 Equal-weight Average，因為在 4 個 fold 的有限樣本下，訓練二層 Stacking 模型的過擬合風險遠大於可能的增益。Equal-weight 是最穩健的集成方式，尤其適合當基模型數量少（僅 2 個）的場景。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第十五章　Phase 3 規劃預告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15.1 治理模組（Governance）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Phase 3 將建構完整的模型治理框架（src/governance/），包含以下子模組：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Kill Criteria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：設定自動停止交易的條件。當策略的近期 Sharpe &lt; -1.0 或連續回撤超過 20% 時，自動暫停信號輸出，防止在模型失效時持續虧損。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Regime Detection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：基於市場波動率（VIX 或台指波動率指數）偵測市場狀態（低波/高波/崩盤），在不同市場環境下啟用不同的模型參數或策略邏輯。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Circuit Breaker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：參考證交所的市場熔斷機制，當盤中大盤指數跌幅超過預設閾值時，自動暫緩當日的換倉操作。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15.2 特徵工程強化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個股新聞情緒分析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：將目前的新聞計數升級為基於 NLP 的情緒分數。規劃使用 CKIP Transformers（台灣中研院的中文 NLP 工具）進行斷詞與情緒分類，產生 event_sentiment_1d/5d 特徵。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估值支柱擴展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：加入 PB（股價淨值比）、PS（股價營收比）、EV/EBITDA 等估值指標，目前僅有 PE 與 PE Rank 稍嫌單薄。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交叉特徵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：探索支柱間的交互特徵（如動量 x 估值、波動率 x 基本面），捕捉非線性交互效果。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15.3 模型監控與 Dashboard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目前已有 Streamlit Dashboard 原型（dashboard/app.py），Phase 3 將強化以下功能：即時模型表現監控（AUC、IC、Sharpe 的滾動追蹤）、特徵飄移偵測（PSI 定期重算）、模型衰減告警（當近期表現低於歷史均值 2 個標準差時通知）。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15.4 進階集成策略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在基模型穩定後，Phase 3 可考慮引入更精緻的集成方式：(1) 基於近期表現的動態權重（Exponential Weighting），讓最近表現較好的引擎獲得更高權重；(2) Stacking（前提是增加基模型數量至 3 個以上，如加入 CatBoost）。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第十六章　使用套件與參考文獻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16.1 主要 Python 套件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360"/>
        <w:gridCol w:w="44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套件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白話說明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pandas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&gt;=1.5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資料處理與分析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Python 最主要的表格處理工具，類似強化版 Excel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numpy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&gt;=1.24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數值計算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高效率的數學運算函式庫，支援矩陣與向量運算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lightgbm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&gt;=4.0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梯度提升樹模型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微軟開發的高效 GBDT 實作，使用直方圖優化的樹分裂演算法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xgboost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&gt;=2.0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梯度提升樹模型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陳天奇開發的 GBDT 實作，學術界與業界最廣泛使用的 boosting 框架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optuna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&gt;=3.0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超參數最佳化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 TPE 演算法自動搜尋最佳參數組合，比傳統 GridSearch 效率高 10 倍以上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&gt;=1.3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機器學習工具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提供 MI、VIF、AUC 等指標的計算，以及 CalibratedClassifierCV 校準工具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scipy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&gt;=1.10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科學計算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提供統計檢定（如 Spearman 相關）、機率分布等進階數學工具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loguru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&gt;=0.7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日誌記錄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高效能的 Python 日誌框架，提供結構化的運行記錄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PyYAML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&gt;=6.0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設定檔讀取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讀取 YAML 格式的設定檔（base.yaml）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datamash / MinHash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新聞去重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使用局部敏感雜湊（Locality-Sensitive Hashing）進行近似重複偵測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streamlit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&gt;=1.30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互動式儀表板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快速建立 Web 儀表板的 Python 框架，用於視覺化分析結果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FinMind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台股資料 API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提供台灣股市 OHLCV、財報等金融資料的 RESTful API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16.2 參考文獻</w:t>
      </w:r>
    </w:p>
    <w:p>
      <w:pPr>
        <w:spacing w:after="200"/>
      </w:pP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Gu, S., Kelly, B., &amp; Xiu, D. (2020).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 Empirical asset pricing via machine learning. Review of Financial Studies, 33(5), 2223-2273.</w:t>
      </w:r>
    </w:p>
    <w:p>
      <w:pPr>
        <w:spacing w:after="160"/>
        <w:ind w:left="40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→ 使用多種機器學習模型比較股票報酬率預測，證實 boosted trees 表現優異。本專案選用 LightGBM/XGBoost 的學術依據。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Lopez de Prado, M. (2018).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 Advances in Financial Machine Learning. John Wiley &amp; Sons.</w:t>
      </w:r>
    </w:p>
    <w:p>
      <w:pPr>
        <w:spacing w:after="160"/>
        <w:ind w:left="40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→ 金融機器學習的經典教科書，提出 Purged K-Fold CV 與 Embargo 概念。本專案 Walk-Forward CV 的設計基礎。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Bailey, D. H., &amp; Lopez de Prado, M. (2014).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 The deflated Sharpe ratio: correcting for selection bias, backtest overfitting, and non-normality. Journal of Portfolio Management, 40(5), 94-107.</w:t>
      </w:r>
    </w:p>
    <w:p>
      <w:pPr>
        <w:spacing w:after="160"/>
        <w:ind w:left="40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→ 提出 Deflated Sharpe Ratio，修正多重測試偏差。本專案 DSR 統計驗證的理論基礎。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Platt, J. (1999).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 Probabilistic outputs for support vector machines and comparisons to regularized likelihood methods. Advances in Large Margin Classifiers, 10(3), 61-74.</w:t>
      </w:r>
    </w:p>
    <w:p>
      <w:pPr>
        <w:spacing w:after="160"/>
        <w:ind w:left="40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→ 提出 Platt Scaling 機率校準方法。本專案使用此方法校準模型輸出機率的可靠性。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Niculescu-Mizil, A., &amp; Caruana, R. (2005).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 Predicting good probabilities with supervised learning. ICML 2005.</w:t>
      </w:r>
    </w:p>
    <w:p>
      <w:pPr>
        <w:spacing w:after="160"/>
        <w:ind w:left="40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→ 比較多種機率校準方法，指出 tree-based 模型的機率輸出通常需要後校準。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Ojala, M., &amp; Garriga, G. C. (2010).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 Permutation tests for studying classifier performance. JMLR, 11, 1833-1863.</w:t>
      </w:r>
    </w:p>
    <w:p>
      <w:pPr>
        <w:spacing w:after="160"/>
        <w:ind w:left="40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→ Permutation Test 用於分類器的統計顯著性檢定。本專案使用 N=1000 的 permutation test 驗證 AUC 顯著性。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Chen, T., &amp; Guestrin, C. (2016).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 XGBoost: A scalable tree boosting system. KDD 2016.</w:t>
      </w:r>
    </w:p>
    <w:p>
      <w:pPr>
        <w:spacing w:after="160"/>
        <w:ind w:left="40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→ XGBoost 的原始論文，提出正則化的梯度提升樹框架。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Ke, G., et al. (2017).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 LightGBM: A highly efficient gradient boosting decision tree. NeurIPS 2017.</w:t>
      </w:r>
    </w:p>
    <w:p>
      <w:pPr>
        <w:spacing w:after="160"/>
        <w:ind w:left="40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→ LightGBM 的原始論文，提出 Histogram-based 與 Leaf-wise 分裂策略。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Grinold, R. C., &amp; Kahn, R. N. (2000).</w:t>
      </w: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 Active Portfolio Management. McGraw-Hill.</w:t>
      </w:r>
    </w:p>
    <w:p>
      <w:pPr>
        <w:spacing w:after="160"/>
        <w:ind w:left="40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→ ICIR（Information Coefficient Information Ratio）的概念來源，量化投資的經典著作。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附錄 A　專案目錄結構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大數據與商業分析專案/
├── run_phase1.py              # Phase 1 主流程（10 步驟）
├── run_phase2.py              # Phase 2 主流程（14 步驟）
├── src/
│   ├── config/base.yaml       # 全域設定檔
│   ├── data/
│   │   ├── loader.py          # 資料載入
│   │   ├── price_processor.py # 股價處理
│   │   ├── financial_processor.py # 財報處理（PIT對齊）
│   │   ├── text_processor.py  # 新聞處理（MinHash去重）
│   │   ├── label_generator.py # 標籤生成
│   │   ├── leakage_detector.py# 前瞻偏差偵測
│   │   └── ohlcv_fetcher.py   # OHLCV 補齊（FinMind）
│   ├── features/
│   │   ├── engineer.py        # 五支柱特徵工程
│   │   └── selector.py        # MI→VIF 特徵篩選
│   ├── models/
│   │   ├── trainer.py         # 模型訓練（Optuna+LGB+XGB）
│   │   ├── walk_forward.py    # Purged Walk-Forward CV
│   │   └── calibration.py     # Platt Scaling 校準
│   ├── backtest/
│   │   ├── engine.py          # 回測引擎
│   │   ├── metrics.py         # 績效指標
│   │   └── statistical_tests.py # 統計驗證
│   ├── visualization/charts.py
│   └── governance/            # Phase 3（規劃中）
├── dashboard/                 # Streamlit Dashboard
├── outputs/reports/           # 自動產出報告
└── tests/                     # 單元測試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台灣股市多因子趨勢預測系統 — Phase 1+2 完整報告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2026-04-05T08:36:55.878Z</dcterms:created>
  <dcterms:modified xsi:type="dcterms:W3CDTF">2026-04-05T08:36:55.878Z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