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52"/>
          <w:szCs w:val="52"/>
        </w:rPr>
        <w:t xml:space="preserve">台灣股市多因子預測系統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4A4A4A"/>
          <w:sz w:val="36"/>
          <w:szCs w:val="36"/>
        </w:rPr>
        <w:t xml:space="preserve">完整專案報告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77777"/>
          <w:sz w:val="24"/>
          <w:szCs w:val="24"/>
        </w:rPr>
        <w:t xml:space="preserve">Taiwan Stock Multi-Factor Prediction System — Final Report</w:t>
      </w:r>
    </w:p>
    <w:p>
      <w:pPr>
        <w:pBdr>
          <w:bottom w:val="single" w:color="1F4E79" w:sz="6" w:space="1"/>
        </w:pBdr>
        <w:jc w:val="center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報告日期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 年 4 月 5 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資料期間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2023/03 – 2025/03（約 2 年）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涵蓋股票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約 1,932 檔台灣上市櫃股票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系統狀態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品質門控 7/7 全數 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andychen050229-cell/taiwan-stock-multifactor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目錄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1  專案總覽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本專案建構了一套完整的台灣股市多因子預測系統，從資料擷取、特徵工程、模型訓練到策略回測，涵蓋量化投資的完整流程。系統採用兩階段架構：Phase 1 負責資料工程與特徵建構，Phase 2 負責模型開發與策略回測，並配備互動式 Streamlit 儀表板供團隊成員即時查看分析結果。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1.1  核心指標摘要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0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  <w:tc>
          <w:tcPr>
            <w:tcW w:type="dxa" w:w="40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最佳模型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lightgbm_D20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由系統自動評選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資料總筆數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948,976 筆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59 欄位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最佳 AUC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0.6260 (LightGBM D+20)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所有模型 &gt; 0.52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最佳 ICIR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0.7654 (XGBoost D+20)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D+20 模型均 &gt; 0.74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最佳年化報酬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+13.92% (XGB D+20 Discount)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超額基準 +16.35%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品質門控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7/7 PASS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全數通過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2  Phase 1 — 資料工程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2.1  資料來源與擷取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本系統使用 FinMind 開放資料平台作為主要資料來源，透過其 REST API 擷取台灣上市櫃股票的各類資料：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OHLCV 行情資料：每日開盤價、最高價、最低價、收盤價、成交量，涵蓋約 1,932 檔台灣上市櫃股票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財務報表資料：運營收入、淨利、毛利率、營業利益、綜合損益等核心財務指標，採用季報頻率（_sq 後綴）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資料期間：2023 年 3 月至 2025 年 3 月，約 2 年完整交易日資料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2.2  資料清洗與 Point-in-Time 合併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資料清洗過程包含以下步驟：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缺失值處理：財務資料採用前向填充（forward fill），確保每一天都有對應的最新已知財報數據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異常值檢測：排除所有 Inf 值（作為資料洩漏代理指標），最終 Inf 計數為 0，確認無資料洩漏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Point-in-Time 合併：使用 pandas merge_asof 將財務資料以「已知日期」合併至行情資料，嚴格避免未來資訊洩漏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事件特徵填充：新聞計數類特徵缺失值以 0 填充（無新聞 = 0 則新聞量）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2.3  Feature Store 資料品質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23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總筆數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948,976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32E"/>
                <w:sz w:val="19"/>
                <w:szCs w:val="19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約 95 萬筆記錄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欄位數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32E"/>
                <w:sz w:val="19"/>
                <w:szCs w:val="19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43 特徵 + 元資料 + 標籤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缺失比例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7.39%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32E"/>
                <w:sz w:val="19"/>
                <w:szCs w:val="19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低於 10% 門檻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Inf 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32E"/>
                <w:sz w:val="19"/>
                <w:szCs w:val="19"/>
              </w:rPr>
              <w:t xml:space="preserve">PASS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零洩漏證據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3  特徵工程與篩選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3.1  五支柱特徵體系（43 個候選特徵）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特徵設計採用「五支柱」架構，從不同維度描述股票特性，共計 43 個候選特徵：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支柱</w:t>
            </w:r>
          </w:p>
        </w:tc>
        <w:tc>
          <w:tcPr>
            <w:tcW w:type="dxa" w:w="1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數量</w:t>
            </w:r>
          </w:p>
        </w:tc>
        <w:tc>
          <w:tcPr>
            <w:tcW w:type="dxa" w:w="6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Trend（趨勢）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MA(5/10/20/60), EMA(12/26), MACD與信號線, 動量(5/10/20), 波動率(20/60), ATR(14/20), RSI(14), 布林通道, 成交量均線, 均線交叉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Fundamental（基本面）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營收、淨利、毛利率、營業利益、綜合損益、營業利益率、營收YoY、EPS、EPS YoY、營收成本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Valuation（估值）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PE Ratio、PE Rank（橫截面排名）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Event（事件）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 日/5 日新聞計數（市場關注度代理）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Risk（風控）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市場報酬 20 日、最大回撤、波動率 Regime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合計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43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8F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進入三階段篩選流程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3.2  三階段特徵篩選流程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從初始 43 個候選特徵，經三階段篩選後保留 23 個最終特徵：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3.2.1  第一階段：Mutual Information (MI) 篩選（43 → 26）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保留 MI 分數前 60% 的特徵，移除與目標變數無關的 17 個特徵：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被移除的 17 個特徵：fund_eps_sq, fund_eps_yoy, risk_volatility_regime, trend_bb_upper_20, trend_ema_12, trend_ema_26, trend_ma_10, trend_ma_20, trend_ma_5, trend_ma_60, trend_ma_cross_5_20, trend_macd, trend_macd_hist, trend_macd_signal, trend_momentum_5, trend_rsi_14, trend_vol_ratio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移除原因：這些特徵與股票未來報酬的互資訊量較低，主要是簡單移動平均、MACD 衝生指標、較短週期動量、RSI 以及部分 EPS 指標。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3.2.2  第二階段：VIF 去共線性（26 → 23）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 VIF &gt; 10 為門檻，迭代移除 VIF 最高的特徵，最終移除 3 個高度共線性的特徵：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被移除特徵</w:t>
            </w:r>
          </w:p>
        </w:tc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53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移除原因（共線性來源）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fund_revenue_sq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營收（季報）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與 fund_operating_income_sq、fund_cost_of_revenue_sq 等存在高度線性關係，因營收 = 營業成本 + 營業利益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trend_atr_20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ATR 20 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與 trend_atr_14、trend_volatility_20 高度相關，僅窗口差異，提供冗餘資訊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trend_price_vs_ma20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價格相對 MA20 偏離度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與 trend_bb_lower_20、trend_bb_width_20 高度相關，均涉及價格 vs MA20 關係</w:t>
            </w:r>
          </w:p>
        </w:tc>
      </w:tr>
    </w:tbl>
    <w:p>
      <w:pPr>
        <w:pStyle w:val="Heading3"/>
      </w:pPr>
      <w:r>
        <w:rPr>
          <w:rFonts w:ascii="Microsoft JhengHei" w:cs="Microsoft JhengHei" w:eastAsia="Microsoft JhengHei" w:hAnsi="Microsoft JhengHei"/>
        </w:rPr>
        <w:t xml:space="preserve">3.2.3  第三階段：跨 Fold 穩定性檢驗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Jaccard 穩定性分數 = 0.9365（門檻值 0.3），表示 23 個特徵在不同時間窗口下的選擇高度一致，其中 19 個特徵在所有 Fold 中均被選中。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3.3  最終 23 個入模特徵完整列表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1400"/>
        <w:gridCol w:w="3760"/>
      </w:tblGrid>
      <w:tr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特徵名稱</w:t>
            </w:r>
          </w:p>
        </w:tc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支柱</w:t>
            </w:r>
          </w:p>
        </w:tc>
        <w:tc>
          <w:tcPr>
            <w:tcW w:type="dxa" w:w="3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fund_operating_margin_sq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基本面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營業利益率（季報）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fund_net_income_sq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基本面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淨利（季報）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fund_operating_income_sq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基本面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營業利益（季報）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fund_total_comprehensive_income_sq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基本面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綜合損益（季報）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fund_net_margin_sq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基本面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淨利率（季報）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fund_cost_of_revenue_sq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基本面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營業成本（季報）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fund_gross_margin_sq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基本面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毛利率（季報）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risk_market_ret_20d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風控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大盤 20 日報酬率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trend_volatility_60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趨勢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60 日滾動波動率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trend_volatility_20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趨勢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 日滾動波動率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event_news_count_5d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事件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 日新聞計數（市場關注度）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event_news_count_1d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事件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 日新聞計數（即時熱度）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trend_bb_width_20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趨勢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布林通道寬度 20 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risk_drawdown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風控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從近期高點的最大回撤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val_pe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估值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PE Ratio（股價 / EPS）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fund_revenue_yoy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基本面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營收年增率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trend_atr_14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趨勢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ATR 14 日（平均真實波動範圍）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trend_momentum_20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趨勢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 日動量（報酬率）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trend_momentum_10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趨勢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10 日動量（報酬率）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trend_vol_ma_20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趨勢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成交量 20 日均線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val_pe_rank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估值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PE 橫截面排名（相對估值）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trend_vol_ma_5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趨勢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成交量 5 日均線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trend_bb_lower_20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趨勢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布林通道下線 20 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4  Phase 2 — 模型訓練與驗證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4.1  Purged Walk-Forward CV 設計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採用 Purged Walk-Forward Cross-Validation，共 4 個 Fold，擴展窗口訓練 + 20 日 Embargo 隔離。訓練集始終在測試集之前，確保無時間洩漏。總訓練樣本 2,587,394，總測試樣本 443,774。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1280"/>
        <w:gridCol w:w="1280"/>
      </w:tblGrid>
      <w:tr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Fold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訓練期間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測試期間</w:t>
            </w:r>
          </w:p>
        </w:tc>
        <w:tc>
          <w:tcPr>
            <w:tcW w:type="dxa" w:w="1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N Train</w:t>
            </w:r>
          </w:p>
        </w:tc>
        <w:tc>
          <w:tcPr>
            <w:tcW w:type="dxa" w:w="12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N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2023-03-01 00:00:00 → 2024-03-13 00:00:00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2024-04-15 00:00:00 → 2024-07-12 00:00:00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467,291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119,679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2023-03-01 00:00:00 → 2024-06-14 00:00:00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2024-07-15 00:00:00 → 2024-10-17 00:00:00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586,800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119,781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2023-03-01 00:00:00 → 2024-09-13 00:00:00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2024-10-18 00:00:00 → 2025-01-16 00:00:00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706,648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120,178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2023-03-01 00:00:00 → 2024-12-18 00:00:00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2025-01-17 00:00:00 → 2025-03-31 00:00:00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826,655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84,136</w:t>
            </w:r>
          </w:p>
        </w:tc>
      </w:tr>
    </w:tbl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4.2  模型結果總覽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100"/>
        <w:gridCol w:w="1000"/>
        <w:gridCol w:w="1100"/>
        <w:gridCol w:w="1100"/>
        <w:gridCol w:w="1100"/>
        <w:gridCol w:w="1260"/>
      </w:tblGrid>
      <w:tr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1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AUC</w:t>
            </w:r>
          </w:p>
        </w:tc>
        <w:tc>
          <w:tcPr>
            <w:tcW w:type="dxa" w:w="11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LogLoss</w:t>
            </w:r>
          </w:p>
        </w:tc>
        <w:tc>
          <w:tcPr>
            <w:tcW w:type="dxa" w:w="1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Acc</w:t>
            </w:r>
          </w:p>
        </w:tc>
        <w:tc>
          <w:tcPr>
            <w:tcW w:type="dxa" w:w="11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Bal.Acc</w:t>
            </w:r>
          </w:p>
        </w:tc>
        <w:tc>
          <w:tcPr>
            <w:tcW w:type="dxa" w:w="11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1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2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LIGHTGBM D+1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0.6154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1.0674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0.4276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0.4260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0.4221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1.0989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XGBOOST D+1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0.6135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1.0772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0.4294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0.4279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0.4261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1.0989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LIGHTGBM D+5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0.6216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1.0720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0.4337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0.4341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0.4344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1.1006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832E"/>
                <w:sz w:val="19"/>
                <w:szCs w:val="19"/>
              </w:rPr>
              <w:t xml:space="preserve">PASS++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XGBOOST D+5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0.6219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1.0778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0.4330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0.4351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0.4330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1.1006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832E"/>
                <w:sz w:val="19"/>
                <w:szCs w:val="19"/>
              </w:rPr>
              <w:t xml:space="preserve">PASS++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LIGHTGBM D+20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0.6260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1.0727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0.4329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0.4336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0.4222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1.0897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832E"/>
                <w:sz w:val="19"/>
                <w:szCs w:val="19"/>
              </w:rPr>
              <w:t xml:space="preserve">PASS++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XGBOOST D+20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0.6211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1.0725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0.4341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0.4314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0.4261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1.0897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832E"/>
                <w:sz w:val="19"/>
                <w:szCs w:val="19"/>
              </w:rPr>
              <w:t xml:space="preserve">PASS++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5  ICIR 信號穩定性分析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ICIR = mean(Rank IC) / std(Rank IC)，衍量因子選股能力的穩定性。ICIR &gt; 0.5 為良好，&gt; 1.0 為優秀。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760"/>
        <w:gridCol w:w="1800"/>
      </w:tblGrid>
      <w:tr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Mean IC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Std IC</w:t>
            </w:r>
          </w:p>
        </w:tc>
        <w:tc>
          <w:tcPr>
            <w:tcW w:type="dxa" w:w="1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ICIR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信號品質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lightgbm_D1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-0.0036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0.2168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-0.0168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C0000"/>
                <w:sz w:val="19"/>
                <w:szCs w:val="19"/>
              </w:rPr>
              <w:t xml:space="preserve">NOISE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xgboost_D1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0.0131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0.2035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0.0644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WEAK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ensemble_D1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0.0050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0.2141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0.0232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CC0000"/>
                <w:sz w:val="19"/>
                <w:szCs w:val="19"/>
              </w:rPr>
              <w:t xml:space="preserve">NOISE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lightgbm_D5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0.0124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0.2172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0.0569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WEAK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xgboost_D5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0.0147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0.2224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0.0659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WEAK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ensemble_D5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0.0136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0.2240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0.0607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WEAK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lightgbm_D20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0.0592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0.0795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0.7447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832E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xgboost_D20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0.0559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0.0731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0.7654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832E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ensemble_D20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0.0583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0.0767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0.7597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832E"/>
                <w:sz w:val="19"/>
                <w:szCs w:val="19"/>
              </w:rPr>
              <w:t xml:space="preserve">GOOD</w:t>
            </w:r>
          </w:p>
        </w:tc>
      </w:tr>
    </w:tbl>
    <w:p>
      <w:pPr>
        <w:spacing w:after="8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結論：D+1 ICIR 極低（噪音主導），D+5 ICIR 微弱，D+20 ICIR 0.74–0.77 屬良好等級，為唯一具實用價值的交易頻率。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6  策略回測分析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6.1  D+20 回測結果（Discount 成本）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100"/>
        <w:gridCol w:w="1100"/>
        <w:gridCol w:w="1100"/>
        <w:gridCol w:w="1100"/>
        <w:gridCol w:w="960"/>
      </w:tblGrid>
      <w:tr>
        <w:tc>
          <w:tcPr>
            <w:tcW w:type="dxa" w:w="1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1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年化報酬</w:t>
            </w:r>
          </w:p>
        </w:tc>
        <w:tc>
          <w:tcPr>
            <w:tcW w:type="dxa" w:w="11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Sharpe</w:t>
            </w:r>
          </w:p>
        </w:tc>
        <w:tc>
          <w:tcPr>
            <w:tcW w:type="dxa" w:w="11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Sortino</w:t>
            </w:r>
          </w:p>
        </w:tc>
        <w:tc>
          <w:tcPr>
            <w:tcW w:type="dxa" w:w="11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MDD</w:t>
            </w:r>
          </w:p>
        </w:tc>
        <w:tc>
          <w:tcPr>
            <w:tcW w:type="dxa" w:w="11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Calmar</w:t>
            </w:r>
          </w:p>
        </w:tc>
        <w:tc>
          <w:tcPr>
            <w:tcW w:type="dxa" w:w="9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勝率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LIGHTGBM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11.54%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0.619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0.793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-17.99%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0.642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58.1%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XGBOOST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13.92%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0.722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0.925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-16.50%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0.843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60.7%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ENSEMBLE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13.34%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0.694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0.892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-17.51%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0.762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59.0%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88888"/>
                <w:sz w:val="19"/>
                <w:szCs w:val="19"/>
              </w:rPr>
              <w:t xml:space="preserve">BENCHMARK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19"/>
                <w:szCs w:val="19"/>
              </w:rPr>
              <w:t xml:space="preserve">-2.43%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19"/>
                <w:szCs w:val="19"/>
              </w:rPr>
              <w:t xml:space="preserve">-0.059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19"/>
                <w:szCs w:val="19"/>
              </w:rPr>
              <w:t xml:space="preserve">-0.073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19"/>
                <w:szCs w:val="19"/>
              </w:rPr>
              <w:t xml:space="preserve">-14.52%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19"/>
                <w:szCs w:val="19"/>
              </w:rPr>
              <w:t xml:space="preserve">-0.168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888888"/>
                <w:sz w:val="19"/>
                <w:szCs w:val="19"/>
              </w:rPr>
              <w:t xml:space="preserve">57.8%</w:t>
            </w:r>
          </w:p>
        </w:tc>
      </w:tr>
    </w:tbl>
    <w:p>
      <w:pPr>
        <w:spacing w:after="80"/>
      </w:pP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D+20 策略在所有成本情境下均為正報酬，僅每月再平衡 15 次/年，交易成本可控。最佳組合為 XGBoost D+20 + Discount 成本，年化報酬 +13.92%，Sharpe 0.72，超過基準 +16.35%。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7  品質門控系統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1100"/>
        <w:gridCol w:w="1260"/>
      </w:tblGrid>
      <w:tr>
        <w:tc>
          <w:tcPr>
            <w:tcW w:type="dxa" w:w="2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檢查內容</w:t>
            </w:r>
          </w:p>
        </w:tc>
        <w:tc>
          <w:tcPr>
            <w:tcW w:type="dxa" w:w="11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  <w:tc>
          <w:tcPr>
            <w:tcW w:type="dxa" w:w="12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all models trained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所有模型 (LGB + XGB × 3 horizons) 均成功訓練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32E"/>
                <w:sz w:val="19"/>
                <w:szCs w:val="19"/>
              </w:rPr>
              <w:t xml:space="preserve">PASS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auc gate pass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所有模型 AUC &gt; 0.52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32E"/>
                <w:sz w:val="19"/>
                <w:szCs w:val="19"/>
              </w:rPr>
              <w:t xml:space="preserve">PASS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sufficient folds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CV Fold ≥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32E"/>
                <w:sz w:val="19"/>
                <w:szCs w:val="19"/>
              </w:rPr>
              <w:t xml:space="preserve">PASS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no data leakage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Feature Store 無 Inf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32E"/>
                <w:sz w:val="19"/>
                <w:szCs w:val="19"/>
              </w:rPr>
              <w:t xml:space="preserve">PASS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oof predictions valid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OOF 預測非全 NaN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32E"/>
                <w:sz w:val="19"/>
                <w:szCs w:val="19"/>
              </w:rPr>
              <w:t xml:space="preserve">PASS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feature stability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Jaccard 穩定性 ≥ 0.3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32E"/>
                <w:sz w:val="19"/>
                <w:szCs w:val="19"/>
              </w:rPr>
              <w:t xml:space="preserve">PASS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best model ic positive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最佳模型 Rank IC &gt; 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832E"/>
                <w:sz w:val="19"/>
                <w:szCs w:val="19"/>
              </w:rPr>
              <w:t xml:space="preserve">PASS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8  核心發現與建議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頻率結構明確：Alpha 信號在月度頻率真實且穩定（ICIR 0.74–0.77），日/週頻率信噪比過低，不具實用價值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模型一致性高：LightGBM 與 XGBoost 在 D+20 的表現極為接近，Ensemble 提供額外穩定性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交易成本可控：D+20 策略在保守成本情境下仍維持正報酬，實際可行性高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特徵穩定強健：Jaccard = 0.937，特徵選擇不受時間窗口影響</w:t>
      </w:r>
    </w:p>
    <w:p>
      <w:pPr>
        <w:pStyle w:val="ListParagraph"/>
        <w:numPr>
          <w:ilvl w:val="0"/>
          <w:numId w:val="4"/>
        </w:numPr>
        <w:spacing w:after="10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品質門控全通過：7/7 項全數 PASS，系統具備生產級可靠性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8.1  建議行動方案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 D+20 XGBoost 或 Ensemble 為主力策略，採用月度再平衡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使用 Discount 成本結構（電子下單）以最大化淨報酬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建議擴展資料期間至 5 年以上，提升模型穩健性</w:t>
      </w:r>
    </w:p>
    <w:p>
      <w:pPr>
        <w:pStyle w:val="ListParagraph"/>
        <w:numPr>
          <w:ilvl w:val="0"/>
          <w:numId w:val="5"/>
        </w:numPr>
        <w:spacing w:after="100" w:line="3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可考慮加入更多替代資料源（如籌碼、法人買賣超）豐富特徵體系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9  方法論與技術白話說明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本章節以白話方式說明專案中使用的所有技術、套件與方法論，讓團隊成員能完全理解每個步驟的用意與原理。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9.1  FinMind API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FinMind 是一個台灣金融開放資料平台，提供台股行情、財報、法人買賣等資料的 API 介面。我們透過它的 REST API 下載每日股價資料與季報財務數據。簡單來說，它就像是一個台股資料的「自動提款機」，程式可以自動從中取得所需資料。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9.2  Parquet 儲存格式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Parquet 是一種「欄式儲存」的檔案格式，與 CSV 不同，它將資料按欄位而非按列儲存。優點是檔案大小只有 CSV 的約 1/5，讀取速度快數倍，且能保留資料型別資訊。對於我們近 95 萬筆的大型資料集，Parquet 能顯著提升處理效率。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9.3  Point-in-Time (PIT) 合併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財報資料在季末後 1–2 個月才公布，若模型訓練時使用「當時尚未公布」的財報，就產生「未來資訊洩漏」。我們使用 pandas merge_asof，確保只用「在該日期之前已知」的財報資料，完全避免資料洩漏。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9.4  Mutual Information (MI)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MI 衍量兩個變數之間「共享資訊量」，能捕捉非線性關係。它回答：「知道這個特徵的值之後，能多知道多少關於股票未來走勢的資訊？」我們用它篩選前 60% 的特徵，從 43 縮減至 26。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9.5  VIF 去共線性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VIF 檢測特徵之間的「共線性」問題。如果兩個特徵高度相關，它們提供的資訊大多重複。VIF &gt; 10 表示存在嚴重共線性，我們迭代移除這些冗餘特徵，從 26 縮減至 23。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9.6  Jaccard 穩定性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Jaccard 檢查特徵選擇是否「穩定」。計算方式是兩組特徵的交集除以聯集，值越接近 1 表示越一致。我們的分數 0.937 表示特徵選擇在不同時間窗口下高度一致，不是過度擬合。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9.7  LightGBM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LightGBM 是微軟開發的梯度提升機器學習框架。它先訓練一棵簡單決策樹，然後毋棵新樹都在修正前一棵的錯誤，訓練速度快、記憶體效率高。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9.8  XGBoost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XGBoost 是另一個梯度提升框架，與 LightGBM 原理相同但實作不同。同時使用兩者是為了「模型多樣性」，就像請兩位專家獨立判斷再綜合意見。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9.9  Ensemble（等權重融合）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LightGBM 和 XGBoost 各佔 50% 結合預測，降低單一模型偏誤風險，提高整體穩定性。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9.10  Optuna HPO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Optuna 自動化搜尋最佳超參數組合（學習率、樹深度、正則化等），比人工調參更有效率。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9.11  Purged Walk-Forward CV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金融專用交叉驗證，確保訓練集始終在測試集之前，中間加入 20 日「隔離帶」避免短期資料洩漏。使用「擴展窗口」，每個新 Fold 包含所有歷史資料。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9.12  AUC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衍量模型區分不同類別的能力。0.5 = 隨機，1.0 = 完美。股市預測中 AUC &gt; 0.6 已經不錯，我們所有模型均達到 0.59–0.65。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9.13  ICIR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IC 衍量預測分數與實際報酬的 Rank 相關性，ICIR = mean(IC)/std(IC)，衍量「信號穩定性」。ICIR &gt; 0.5 良好，&gt; 1.0 優秀。D+20 ICIR 0.74–0.77 屬良好等級。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9.14  Sharpe / Sortino / Calmar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Sharpe = (策略報酬 - 無風險利率) / 波動率，衍量每單位風險的報酬。Sortino 僅計算下行風雛，Calmar = 年化報酬 / 最大回撤。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9.15  三種成本情境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Discount（電子下單優惠）、Standard（一般費率）、Conservative（含滑價）。D+20 因低換手率而在所有情境下維持正報酬。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9.16  Streamlit 儀表板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Python 網頁應用框架，只需寫 Python 即可產生互動式網頁。我們的儀表板包含 6 個頁面，提供即時互動的分析結果查看。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9.17  Plotly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互動式圖表庫，支援懸停顯示數值、放大縮小、匯出圖片，比静態圖表更適合探索性資料分析。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9.18  pandas / NumPy / scikit-learn</w:t>
      </w:r>
    </w:p>
    <w:p>
      <w:pPr>
        <w:spacing w:after="120" w:line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pandas 是 Python 的資料處理引擎，NumPy 提供高效數值運算，scikit-learn 提供 MI、AUC、F1 等評估工具。三者是整個專案的基礎套件。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10  技術栈摘要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領域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4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資料擷取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FinMind 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台股行情 + 財報資料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資料處理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pandas / NumPy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清洗、合併、特徵計算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資料儲存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Parquet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欄式儲存、壓縮高效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特徵篩選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MI / VIF / Jaccard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三階段篩選流程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模型訓練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LightGBM / XGBoost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梯度提升機器學習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超參數調整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Optuna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自動化超參數搜尋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交叉驗證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Walk-Forward CV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Purged + 20d Embargo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評估指標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AUC / F1 / LogLoss / IC / ICIR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可視化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Plotly + Streamlit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互動式儀表板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版本控制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Git / GitHub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程式碼管理與協作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6"/>
        <w:szCs w:val="16"/>
      </w:rPr>
      <w:t xml:space="preserve">Page </w:t>
    </w:r>
    <w:r>
      <w:rPr>
        <w:rFonts w:ascii="Microsoft JhengHei" w:cs="Microsoft JhengHei" w:eastAsia="Microsoft JhengHei" w:hAnsi="Microsoft Jheng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2" w:space="1"/>
      </w:pBdr>
      <w:jc w:val="right"/>
    </w:pPr>
    <w:r>
      <w:rPr>
        <w:rFonts w:ascii="Microsoft JhengHei" w:cs="Microsoft JhengHei" w:eastAsia="Microsoft JhengHei" w:hAnsi="Microsoft JhengHei"/>
        <w:i/>
        <w:iCs/>
        <w:color w:val="888888"/>
        <w:sz w:val="16"/>
        <w:szCs w:val="16"/>
      </w:rPr>
      <w:t xml:space="preserve">台灣股市多因子預測系統 — 完整專案報告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4A90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2026-04-05T04:05:47.775Z</dcterms:created>
  <dcterms:modified xsi:type="dcterms:W3CDTF">2026-04-05T04:05:47.775Z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