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Microsoft JhengHei" w:hAnsi="Microsoft JhengHei" w:eastAsia="Microsoft JhengHei" w:cs="Microsoft JhengHei"/>
          <w:b/>
          <w:color w:val="1E3A8A"/>
          <w:sz w:val="36"/>
        </w:rPr>
        <w:t>台股多因子預測系統 v11.5.18</w:t>
      </w:r>
    </w:p>
    <w:p>
      <w:pPr>
        <w:spacing w:after="400" w:before="0" w:line="288" w:lineRule="auto"/>
        <w:jc w:val="center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錄影逐字稿（含 1 分鐘網站 demo、總長約 7 分鐘）</w:t>
      </w:r>
    </w:p>
    <w:p>
      <w:pPr>
        <w:spacing w:after="160" w:before="28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P.01 · COVER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老師、同學好，我們是 NTU 大數據與商業分析專案第九組。今天報告的是「台股多因子預測系統 v11.5.18」。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一句話結論：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D+20——預測 20 個交易日後股價方向——是台股多因子預測從研究走向部署的可行切入點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。948K 樣本、91 特徵、9/9 治理關卡通過，OOS AUC 0.6455、Top 1% 命中 36.81%、24 個月年化 +36.8%。</w:t>
      </w:r>
    </w:p>
    <w:p>
      <w:pPr>
        <w:spacing w:after="160" w:before="28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P.02 · PROBLEM FRAMING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為什麼是 D+20？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短線 edge 多落 1-5 pp、跨 fold 不穩——日頻波動由 HFT 跟散戶情緒主導，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不適合下注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但 alpha 並非不存在。把視角拉到 D+20，ICIR 0.7431 顯著高於 D+1、D+5。基本面訊號半衰期超過 1 個月，D+20 是訊號最強、雜訊已收斂的甜蜜點。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切點：以 D+20 為視窗、把基本面、文本、籌碼三軸對齊；point-in-time 紀律落地、阻斷偷看未來的風險。</w:t>
      </w:r>
    </w:p>
    <w:p>
      <w:pPr>
        <w:spacing w:after="160" w:before="28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P.03 · METHODOLOGY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模型能力必須先通過時序紀律檢驗，才有資格被解讀為 alpha。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特徵漏斗三層：Corr ≤ 0.85 砍共線、降到 870；MI top-K 互資訊保留、降到 287；VIF &lt; 5 加業務檢查、收到 91 個。保留率 5.6%。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模型用 XGBoost、Optuna 跑 150 trials。對照組裡 XGB 0.6455、LightGBM 0.6381、Logistic 只到 0.5874——非線性是關鍵。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驗證用 Walk-Forward Purged K-Fold + 20 日 embargo，這是 DSR 12.12 通過多重檢定的關鍵前提。</w:t>
      </w:r>
    </w:p>
    <w:p>
      <w:pPr>
        <w:spacing w:after="160" w:before="28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P.04 · HEADLINE RESULT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四項獨立指標一致收斂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：OOS AUC 0.6455、ICIR 0.7431、DSR 12.12、Top 1% 命中 36.81%。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4 折 AUC 落於 0.633 - 0.656、跨 fold σ 只有 0.0089——同一結論在四個獨立樣本中重複出現，排除 p-hacking。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Top 1% 那 4,047 檔機會、命中率比基準高 10.53 pp，是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可下單的選股訊號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、不是回測假象。</w:t>
      </w:r>
    </w:p>
    <w:p>
      <w:pPr>
        <w:spacing w:after="160" w:before="28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P.05 · STATISTICAL RIGOR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統計修正後仍顯著，模型結果已越過「回測漂亮」的最低門檻。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依 Bailey &amp; López de Prado 2014，原始 Sharpe 2.41、扣多重檢定變異膨脹跟 skew/kurt 修正之後，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DSR 12.12，遠超 3.0 顯著門檻、p &lt; 0.001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9 道治理關卡全數 PASS。Text PSI 因詞向量演化觸發 WARN、對策是每月重訓；線上預測流水關卡早期失敗、後續重驗 6/6 全通。</w:t>
      </w:r>
    </w:p>
    <w:p>
      <w:pPr>
        <w:spacing w:after="160" w:before="28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P.06 · FACTOR ATTRIBUTION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真正驅動模型的不是特徵數量、而是 Risk × Trend × Text 的訊號協同。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LOPO 結果——拿掉一支柱看 AUC 掉多少：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Risk 是地基、拿掉掉 138.6 bps（約 1.4 pp）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；Trend 64.9、Val 9.5、Text 8.5 都是正貢獻。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但 Chip、Event、Industry 三支柱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反而是負貢獻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、合計負 49 bps——這三支引入的雜訊多於訊息、是下一輪精簡的對象。</w:t>
      </w:r>
    </w:p>
    <w:p>
      <w:pPr>
        <w:spacing w:after="160" w:before="28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P.07 · SENTIMENT U-SHAPE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文本支柱有個有趣發現——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散戶情緒呈現反向 U 型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把情緒分五桶：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Q1 最悲觀那一桶、隔日 +3.2 pp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，是五桶最強的；Q3 中性 negative；Q5 最樂觀只剩 +0.6 pp。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對應行為金融兩個經典假說：Q1 反彈印證 Kahneman 過度反應、Q5 弱勢印證 Tetlock 過度樂觀。Q1 + Q5 共佔 sentiment LOPO 的 94%——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極端情緒可作為主模型之上的 alpha filter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160" w:before="28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P.08 · DEPLOYMENT EDGE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模型分數已能變成每日可下單的選股清單。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閾值 0.50 那一軌——2,836 檔——命中 37.98%、邊際 +11.70 pp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，相對提升 44.5%。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我們設計雙軌部位：A 軌 threshold 0.50、call rate 0.7%、edge +11.7 pp，給主動基金實盤；B 軌 threshold 0.40、call rate 8.83%、edge +3.14 pp，給研究 watchlist。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扣 20 bps 交易成本後仍有 +11.5 pp / +2.9 pp。本研究為學術成果、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不構成投資建議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160" w:before="28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P.09 · STRATEGY BACKTEST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把這些訊號真的當實單跑會怎樣？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Top 1% 策略、月再平衡、含手續費 0.3% 與滑價 0.1%、回測 24 個月：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100 元起始、24 個月後到 188 元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——CAGR +36.8%、同期 TAIEX 只有 +12.4%。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風險面：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最大回撤 -14.2%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，TAIEX 同期 -22.4%、回撤淺很多。Sharpe 0.81 對 0.42、Calmar 2.59 對 0.55——大盤的 2 到 5 倍。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學術回測、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不構成投資建議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；極端 30 bps 成本壓力測試下仍維持正報酬。</w:t>
      </w:r>
    </w:p>
    <w:p>
      <w:pPr>
        <w:spacing w:after="160" w:before="28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P.10 · LIMITS &amp; ROADMAP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部署不是上線模型、而是建立可監控、可重訓、可停損的研究系統。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部署條件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：AUC、DSR、Top 1%、Gates、Lineage 五項皆已備齊。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三大限制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：SCOPE 只適用 D+20、不適用當沖；TEXT 詞向量需每月重訓；REGIME 訓練窗口是多頭、極端崩跌情境未涵蓋。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6 個月路線圖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：Q2 Top 1% 服務化、API 試接 1 客戶做 POC；Q2-Q3 Risk 支柱獨立 overlay；Q3-Q4 詞向量月重訓 + PSI 自動回報、防 drift &gt; 0.20。</w:t>
      </w:r>
    </w:p>
    <w:p>
      <w:pPr>
        <w:spacing w:after="160" w:before="280" w:line="288" w:lineRule="auto"/>
      </w:pPr>
      <w:r>
        <w:rPr>
          <w:rFonts w:ascii="Microsoft JhengHei" w:hAnsi="Microsoft JhengHei" w:eastAsia="Microsoft JhengHei" w:cs="Microsoft JhengHei"/>
          <w:b/>
          <w:color w:val="1E3A8A"/>
          <w:sz w:val="28"/>
        </w:rPr>
        <w:t>P.11 · CLOSING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回到一開始的命題：</w:t>
      </w:r>
      <w:r>
        <w:rPr>
          <w:rFonts w:ascii="Microsoft JhengHei" w:hAnsi="Microsoft JhengHei" w:eastAsia="Microsoft JhengHei" w:cs="Microsoft JhengHei"/>
          <w:b/>
          <w:color w:val="0F172A"/>
          <w:sz w:val="24"/>
        </w:rPr>
        <w:t>本專案證明，台股 D+20 alpha 可以被系統化發現、驗證與監控</w:t>
      </w: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OOS AUC 0.6455、Top 1% 命中 36.81%、24 個月 CAGR +36.8%、9 / 9 治理關卡全數通過——從資料、模型、回測到治理已形成完整閉環。</w:t>
      </w:r>
    </w:p>
    <w:p>
      <w:pPr>
        <w:spacing w:after="160" w:before="0" w:line="408" w:lineRule="auto"/>
        <w:ind w:firstLine="454"/>
      </w:pPr>
      <w:r>
        <w:rPr>
          <w:rFonts w:ascii="Microsoft JhengHei" w:hAnsi="Microsoft JhengHei" w:eastAsia="Microsoft JhengHei" w:cs="Microsoft JhengHei"/>
          <w:b w:val="0"/>
          <w:color w:val="334155"/>
          <w:sz w:val="24"/>
        </w:rPr>
        <w:t>接下來的 1 分鐘、我們直接帶各位看互動儀表板，把這套研究成果在實際介面上跑一次。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