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3="http://schemas.openxmlformats.org/officeDocument/2006/relationships" xmlns:w="http://schemas.openxmlformats.org/wordprocessingml/2006/main" ns1:Ignorable="w14 w15 w16se w16cid w16 w16cex w16sdtdh w16sdtfl w16du wp14">
  <w:body>
    <w:p ns2:paraId="60AB462C" ns2:textId="77777777" w:rsidR="008674B3" w:rsidRDefault="00000000">
      <w:pPr>
        <w:spacing w:before="1440" w:after="240"/>
        <w:jc w:val="center"/>
        <w:rPr>
          <w:sz w:val="48"/>
          <w:szCs w:val="48"/>
        </w:rPr>
      </w:pPr>
      <w:r>
        <w:rPr>
          <w:rFonts w:eastAsia="Times New Roman"/>
          <w:b/>
          <w:bCs/>
          <w:sz w:val="48"/>
          <w:szCs w:val="48"/>
        </w:rPr>
        <w:t>How Do U.S. Housing Prices Respond to Interest-Rate Changes, and How Does the Response Differ Across States?</w:t>
      </w:r>
    </w:p>
    <w:p ns2:paraId="25AFFCE6" ns2:textId="77777777" w:rsidR="008674B3" w:rsidRDefault="00000000">
      <w:pPr>
        <w:spacing w:after="240" w:line="480" w:lineRule="auto"/>
        <w:jc w:val="center"/>
      </w:pPr>
      <w:r>
        <w:rPr>
          <w:rFonts w:eastAsia="Times New Roman"/>
        </w:rPr>
        <w:t>Andy Chen</w:t>
      </w:r>
    </w:p>
    <w:p ns2:paraId="25AFFCE6" ns2:textId="77777777" w:rsidR="008674B3" w:rsidRDefault="00000000">
      <w:pPr>
        <w:spacing w:after="240" w:line="480" w:lineRule="auto"/>
        <w:jc w:val="center"/>
      </w:pPr>
      <w:r>
        <w:rPr>
          <w:rFonts w:eastAsia="Times New Roman"/>
        </w:rPr>
        <w:t>Master of Science in Data Science and Analytics</w:t>
      </w:r>
    </w:p>
    <w:p ns2:paraId="25AFFCE6" ns2:textId="77777777" w:rsidR="008674B3" w:rsidRDefault="00000000">
      <w:pPr>
        <w:spacing w:after="240" w:line="480" w:lineRule="auto"/>
        <w:jc w:val="center"/>
      </w:pPr>
      <w:r>
        <w:rPr>
          <w:rFonts w:eastAsia="Times New Roman"/>
        </w:rPr>
        <w:t>California State University, Chico</w:t>
      </w:r>
    </w:p>
    <w:p ns2:paraId="580C0178" ns2:textId="77777777" w:rsidR="008674B3" w:rsidRDefault="00000000">
      <w:pPr>
        <w:pStyle w:val="1"/>
      </w:pPr>
      <w:r>
        <w:t>Introduction</w:t>
      </w:r>
    </w:p>
    <w:p ns2:paraId="5FA13A00" ns2:textId="77777777" w:rsidR="008674B3" w:rsidRDefault="00000000">
      <w:pPr>
        <w:spacing w:after="200" w:line="480" w:lineRule="auto"/>
        <w:ind w:firstLine="720"/>
      </w:pPr>
      <w:r>
        <w:rPr>
          <w:rFonts w:eastAsia="Times New Roman"/>
        </w:rPr>
        <w:t>Housing markets are strongly connected to macroeconomic conditions. Changes in inflation, interest rates, employment, and financial conditions affect the cost of borrowing and the ability of households to purchase homes. These changes can also affect the decisions of developers, lenders, and investors. However, the response of housing prices may not occur immediately. A change in interest rates may influence mortgage costs first, while housing prices may adjust over several months.</w:t>
      </w:r>
    </w:p>
    <w:p ns2:paraId="5FA13A00" ns2:textId="77777777" w:rsidR="008674B3" w:rsidRDefault="00000000">
      <w:pPr>
        <w:spacing w:after="200" w:line="480" w:lineRule="auto"/>
        <w:ind w:firstLine="720"/>
      </w:pPr>
      <w:r>
        <w:rPr>
          <w:rFonts w:eastAsia="Times New Roman"/>
        </w:rPr>
        <w:t>The national housing market is also not a single uniform market. States differ in home prices, supply constraints, migration patterns, construction conditions, and local economic structures. For example, California and New York have relatively high housing costs and important supply constraints, while Texas has historically had more room for construction. Florida and Arizona have also experienced strong population growth and housing demand. These differences may cause states to respond differently to the same national interest-rate change.</w:t>
      </w:r>
    </w:p>
    <w:p ns2:paraId="5FA13A00" ns2:textId="77777777" w:rsidR="008674B3" w:rsidRDefault="00000000">
      <w:pPr>
        <w:spacing w:after="200" w:line="480" w:lineRule="auto"/>
        <w:ind w:firstLine="720"/>
      </w:pPr>
      <w:r>
        <w:rPr>
          <w:rFonts w:eastAsia="Times New Roman"/>
        </w:rPr>
        <w:t>This study examines how U.S. housing prices respond to changes in interest rates and whether the timing and magnitude of the response differ across states. The main analysis combines monthly national data with quarterly state-level house price indices. The monthly analysis is used to estimate the timing of housing-price responses. The state-level panel analysis is used to test whether the response differs across seven selected states.</w:t>
      </w:r>
    </w:p>
    <w:p ns2:paraId="5FA13A00" ns2:textId="77777777" w:rsidR="008674B3" w:rsidRDefault="00000000">
      <w:pPr>
        <w:spacing w:after="200" w:line="480" w:lineRule="auto"/>
        <w:ind w:firstLine="720"/>
      </w:pPr>
      <w:r>
        <w:rPr>
          <w:rFonts w:eastAsia="Times New Roman"/>
        </w:rPr>
        <w:t>The project focuses on interpretable statistical models. A distributed-lag model will be used to estimate the timing of the response, and a state fixed-effects panel model with state-by-interest-rate interactions will be used to study differences across states. COVID-19 and alternative models will be considered as robustness analyses after the main models are completed.</w:t>
      </w:r>
    </w:p>
    <w:p ns2:paraId="580C0178" ns2:textId="77777777" w:rsidR="008674B3" w:rsidRDefault="00000000">
      <w:pPr>
        <w:pStyle w:val="1"/>
      </w:pPr>
      <w:r>
        <w:t>Statement of Problem</w:t>
      </w:r>
    </w:p>
    <w:p ns2:paraId="5FA13A00" ns2:textId="77777777" w:rsidR="008674B3" w:rsidRDefault="00000000">
      <w:pPr>
        <w:spacing w:after="200" w:line="480" w:lineRule="auto"/>
        <w:ind w:firstLine="720"/>
      </w:pPr>
      <w:r>
        <w:rPr>
          <w:rFonts w:eastAsia="Times New Roman"/>
        </w:rPr>
        <w:t>When interest rates rise, mortgage borrowing becomes more expensive and housing demand may weaken. The effect on housing prices may be delayed because sellers and buyers do not immediately change their decisions, and because housing transactions take time to adjust. A model that only uses current-period interest rates may therefore miss an important part of the relationship.</w:t>
      </w:r>
    </w:p>
    <w:p ns2:paraId="5FA13A00" ns2:textId="77777777" w:rsidR="008674B3" w:rsidRDefault="00000000">
      <w:pPr>
        <w:spacing w:after="200" w:line="480" w:lineRule="auto"/>
        <w:ind w:firstLine="720"/>
      </w:pPr>
      <w:r>
        <w:rPr>
          <w:rFonts w:eastAsia="Times New Roman"/>
        </w:rPr>
        <w:t>Most national analyses report one average estimate for the United States. That estimate may not describe the experience of individual states. A high-cost, supply-constrained state may respond differently from a state with lower prices and more flexible construction. This project addresses the problem by estimating both the timing of the national response and the differences in response across states.</w:t>
      </w:r>
    </w:p>
    <w:p ns2:paraId="5FA13A00" ns2:textId="77777777" w:rsidR="008674B3" w:rsidRDefault="00000000">
      <w:pPr>
        <w:spacing w:after="200" w:line="480" w:lineRule="auto"/>
        <w:ind w:firstLine="720"/>
      </w:pPr>
      <w:r>
        <w:rPr>
          <w:rFonts w:eastAsia="Times New Roman"/>
        </w:rPr>
        <w:t>The study will describe dynamic relationships and response patterns. Unless a stronger external identification strategy is established, the results will not be interpreted as proof that interest-rate changes caused every observed change in housing prices.</w:t>
      </w:r>
    </w:p>
    <w:p ns2:paraId="580C0178" ns2:textId="77777777" w:rsidR="008674B3" w:rsidRDefault="00000000">
      <w:pPr>
        <w:pStyle w:val="1"/>
      </w:pPr>
      <w:r>
        <w:t>Research Questions</w:t>
      </w:r>
    </w:p>
    <w:p ns2:paraId="5FA13A00" ns2:textId="77777777" w:rsidR="008674B3" w:rsidRDefault="00000000">
      <w:pPr>
        <w:spacing w:after="200" w:line="480" w:lineRule="auto"/>
        <w:ind w:firstLine="720"/>
      </w:pPr>
      <w:r>
        <w:rPr>
          <w:rFonts w:eastAsia="Times New Roman"/>
        </w:rPr>
        <w:t>This project is guided by the following questions:</w:t>
      </w:r>
    </w:p>
    <w:p ns2:paraId="5FA13A00" ns2:textId="77777777" w:rsidR="008674B3" w:rsidRDefault="00000000">
      <w:pPr>
        <w:spacing w:after="200" w:line="480" w:lineRule="auto"/>
        <w:ind w:firstLine="720"/>
      </w:pPr>
      <w:r>
        <w:rPr>
          <w:rFonts w:eastAsia="Times New Roman"/>
        </w:rPr>
        <w:t>1. Are changes in interest rates associated with subsequent changes in U.S. housing-price growth?</w:t>
      </w:r>
    </w:p>
    <w:p ns2:paraId="5FA13A00" ns2:textId="77777777" w:rsidR="008674B3" w:rsidRDefault="00000000">
      <w:pPr>
        <w:spacing w:after="200" w:line="480" w:lineRule="auto"/>
        <w:ind w:firstLine="720"/>
      </w:pPr>
      <w:r>
        <w:rPr>
          <w:rFonts w:eastAsia="Times New Roman"/>
        </w:rPr>
        <w:t>2. How many months after an interest-rate change does the national housing-price response become most apparent?</w:t>
      </w:r>
    </w:p>
    <w:p ns2:paraId="5FA13A00" ns2:textId="77777777" w:rsidR="008674B3" w:rsidRDefault="00000000">
      <w:pPr>
        <w:spacing w:after="200" w:line="480" w:lineRule="auto"/>
        <w:ind w:firstLine="720"/>
      </w:pPr>
      <w:r>
        <w:rPr>
          <w:rFonts w:eastAsia="Times New Roman"/>
        </w:rPr>
        <w:t>3. Do the magnitude and timing of housing-price responses differ across Arizona, California, Florida, Illinois, New York, Ohio, and Texas?</w:t>
      </w:r>
    </w:p>
    <w:p ns2:paraId="5FA13A00" ns2:textId="77777777" w:rsidR="008674B3" w:rsidRDefault="00000000">
      <w:pPr>
        <w:spacing w:after="200" w:line="480" w:lineRule="auto"/>
        <w:ind w:firstLine="720"/>
      </w:pPr>
      <w:r>
        <w:rPr>
          <w:rFonts w:eastAsia="Times New Roman"/>
        </w:rPr>
        <w:t>4. Are the main conclusions sensitive to alternative interest-rate measures, lag lengths, housing-price transformations, sample periods, and the COVID-19 period?</w:t>
      </w:r>
    </w:p>
    <w:p ns2:paraId="5FA13A00" ns2:textId="77777777" w:rsidR="008674B3" w:rsidRDefault="00000000">
      <w:pPr>
        <w:spacing w:after="200" w:line="480" w:lineRule="auto"/>
        <w:ind w:firstLine="720"/>
      </w:pPr>
      <w:r>
        <w:rPr>
          <w:rFonts w:eastAsia="Times New Roman"/>
        </w:rPr>
        <w:t>The first question establishes the baseline relationship. The second is the central timing question. The third examines state heterogeneity. The fourth evaluates whether the main findings are robust to reasonable alternative specifications.</w:t>
      </w:r>
    </w:p>
    <w:p ns2:paraId="580C0178" ns2:textId="77777777" w:rsidR="008674B3" w:rsidRDefault="00000000">
      <w:pPr>
        <w:pStyle w:val="1"/>
      </w:pPr>
      <w:r>
        <w:t>Literature Review</w:t>
      </w:r>
    </w:p>
    <w:p ns2:paraId="5FA13A00" ns2:textId="77777777" w:rsidR="008674B3" w:rsidRDefault="00000000">
      <w:pPr>
        <w:spacing w:after="200" w:line="480" w:lineRule="auto"/>
        <w:ind w:firstLine="720"/>
      </w:pPr>
      <w:r>
        <w:rPr>
          <w:rFonts w:eastAsia="Times New Roman"/>
        </w:rPr>
        <w:t>Housing markets are local rather than perfectly integrated national markets. Case and Shiller (1989) showed that housing prices display persistent trends and that local market conditions matter. This supports the use of state-level data rather than relying only on a national average.</w:t>
      </w:r>
    </w:p>
    <w:p ns2:paraId="5FA13A00" ns2:textId="77777777" w:rsidR="008674B3" w:rsidRDefault="00000000">
      <w:pPr>
        <w:spacing w:after="200" w:line="480" w:lineRule="auto"/>
        <w:ind w:firstLine="720"/>
      </w:pPr>
      <w:r>
        <w:rPr>
          <w:rFonts w:eastAsia="Times New Roman"/>
        </w:rPr>
        <w:t>Glaeser and Gyourko (2018) explained that land-use regulation and construction restrictions can make housing supply inelastic. When supply is less responsive, changes in demand may have different effects on prices. This provides an economic reason to expect heterogeneous responses across states.</w:t>
      </w:r>
    </w:p>
    <w:p ns2:paraId="5FA13A00" ns2:textId="77777777" w:rsidR="008674B3" w:rsidRDefault="00000000">
      <w:pPr>
        <w:spacing w:after="200" w:line="480" w:lineRule="auto"/>
        <w:ind w:firstLine="720"/>
      </w:pPr>
      <w:r>
        <w:rPr>
          <w:rFonts w:eastAsia="Times New Roman"/>
        </w:rPr>
        <w:t>Blanchard and Bernanke (2023) analyzed the sources of U.S. pandemic-era inflation and showed that both supply and demand factors contributed to the inflation episode. Because inflation and interest rates changed substantially during and after the pandemic, this period provides an important setting for examining whether housing relationships changed.</w:t>
      </w:r>
    </w:p>
    <w:p ns2:paraId="5FA13A00" ns2:textId="77777777" w:rsidR="008674B3" w:rsidRDefault="00000000">
      <w:pPr>
        <w:spacing w:after="200" w:line="480" w:lineRule="auto"/>
        <w:ind w:firstLine="720"/>
      </w:pPr>
      <w:r>
        <w:rPr>
          <w:rFonts w:eastAsia="Times New Roman"/>
        </w:rPr>
        <w:t>McCracken and Ng (2016) developed the FRED-MD framework for organizing a large set of macroeconomic time series and recommended transformation codes for making variables more suitable for statistical analysis. This project uses the related FRED-QD data structure for quarterly macroeconomic controls while also using a monthly dataset for the higher-resolution lag analysis.</w:t>
      </w:r>
    </w:p>
    <w:p ns2:paraId="5FA13A00" ns2:textId="77777777" w:rsidR="008674B3" w:rsidRDefault="00000000">
      <w:pPr>
        <w:spacing w:after="200" w:line="480" w:lineRule="auto"/>
        <w:ind w:firstLine="720"/>
      </w:pPr>
      <w:r>
        <w:rPr>
          <w:rFonts w:eastAsia="Times New Roman"/>
        </w:rPr>
        <w:t>Together, the literature supports three ideas used in this project. Housing markets differ across locations, macroeconomic conditions influence housing decisions, and the response may occur with a delay. This study contributes by combining a national distributed-lag analysis with a state panel model that directly tests differences in interest-rate responses.</w:t>
      </w:r>
    </w:p>
    <w:p ns2:paraId="580C0178" ns2:textId="77777777" w:rsidR="008674B3" w:rsidRDefault="00000000">
      <w:pPr>
        <w:pStyle w:val="1"/>
      </w:pPr>
      <w:r>
        <w:t>Data</w:t>
      </w:r>
    </w:p>
    <w:p ns2:paraId="223361EE" ns2:textId="77777777" w:rsidR="008674B3" w:rsidRDefault="00000000">
      <w:pPr>
        <w:pStyle w:val="2"/>
      </w:pPr>
      <w:r>
        <w:t>National Monthly Data</w:t>
      </w:r>
    </w:p>
    <w:p ns2:paraId="5FA13A00" ns2:textId="77777777" w:rsidR="008674B3" w:rsidRDefault="00000000">
      <w:pPr>
        <w:spacing w:after="200" w:line="480" w:lineRule="auto"/>
        <w:ind w:firstLine="720"/>
      </w:pPr>
      <w:r>
        <w:rPr>
          <w:rFonts w:eastAsia="Times New Roman"/>
        </w:rPr>
        <w:t>The national monthly macroeconomic data come from the March 2026 FRED-MD vintage in 2026-02-MD.csv. The monthly U.S. house price index comes from CSUSHPINSA_MD.csv. The main monthly variables are the national house price index (CSUSHPINSA), the effective federal funds rate (FEDFUNDS), the 10-year Treasury yield (GS10), the Consumer Price Index (CPIAUCSL), the unemployment rate (UNRATE), and total nonfarm payroll employment (PAYEMS). HOUST may be used as a secondary national housing-activity outcome, but it will not replace the house price index as the main outcome.</w:t>
      </w:r>
    </w:p>
    <w:p ns2:paraId="223361EE" ns2:textId="77777777" w:rsidR="008674B3" w:rsidRDefault="00000000">
      <w:pPr>
        <w:pStyle w:val="2"/>
      </w:pPr>
      <w:r>
        <w:t>Quarterly Macroeconomic Data</w:t>
      </w:r>
    </w:p>
    <w:p ns2:paraId="5FA13A00" ns2:textId="77777777" w:rsidR="008674B3" w:rsidRDefault="00000000">
      <w:pPr>
        <w:spacing w:after="200" w:line="480" w:lineRule="auto"/>
        <w:ind w:firstLine="720"/>
      </w:pPr>
      <w:r>
        <w:rPr>
          <w:rFonts w:eastAsia="Times New Roman"/>
        </w:rPr>
        <w:t>The quarterly macroeconomic data come from the March 2026 FRED-QD vintage in 2026-03-QD.csv. The quarterly file provides a common time scale for the state panel and includes the federal funds rate, the 10-year Treasury yield, consumer prices, unemployment, payroll employment, and other potential control variables. Candidate variables will be reduced to a small core set after checking definitions, missing values, correlations, and multicollinearity.</w:t>
      </w:r>
    </w:p>
    <w:p ns2:paraId="223361EE" ns2:textId="77777777" w:rsidR="008674B3" w:rsidRDefault="00000000">
      <w:pPr>
        <w:pStyle w:val="2"/>
      </w:pPr>
      <w:r>
        <w:t>State House Price Data</w:t>
      </w:r>
    </w:p>
    <w:p ns2:paraId="5FA13A00" ns2:textId="77777777" w:rsidR="008674B3" w:rsidRDefault="00000000">
      <w:pPr>
        <w:spacing w:after="200" w:line="480" w:lineRule="auto"/>
        <w:ind w:firstLine="720"/>
      </w:pPr>
      <w:r>
        <w:rPr>
          <w:rFonts w:eastAsia="Times New Roman"/>
        </w:rPr>
        <w:t>State-level house price data come from the Federal Housing Finance Agency State House Price Index files. The seven states are Arizona, California, Florida, Illinois, New York, Ohio, and Texas. These states provide variation in housing costs, population growth, regional location, and housing-supply conditions. The state HPI files are quarterly and will be merged with quarterly macroeconomic variables by quarter.</w:t>
      </w:r>
    </w:p>
    <w:p ns2:paraId="5FA13A00" ns2:textId="77777777" w:rsidR="008674B3" w:rsidRDefault="00000000">
      <w:pPr>
        <w:spacing w:after="200" w:line="480" w:lineRule="auto"/>
        <w:ind w:firstLine="720"/>
      </w:pPr>
      <w:r>
        <w:rPr>
          <w:rFonts w:eastAsia="Times New Roman"/>
        </w:rPr>
        <w:t>The main comparable analysis will use the period beginning in 1987, when the national monthly house price index begins. Earlier state observations will be preserved and may be used in supplementary descriptive analysis, but they will not be combined with the main sample without documenting the reason.</w:t>
      </w:r>
    </w:p>
    <w:p ns2:paraId="580C0178" ns2:textId="77777777" w:rsidR="008674B3" w:rsidRDefault="00000000">
      <w:pPr>
        <w:pStyle w:val="1"/>
      </w:pPr>
      <w:r>
        <w:t>Data Processing</w:t>
      </w:r>
    </w:p>
    <w:p ns2:paraId="5FA13A00" ns2:textId="77777777" w:rsidR="008674B3" w:rsidRDefault="00000000">
      <w:pPr>
        <w:spacing w:after="200" w:line="480" w:lineRule="auto"/>
        <w:ind w:firstLine="720"/>
      </w:pPr>
      <w:r>
        <w:rPr>
          <w:rFonts w:eastAsia="Times New Roman"/>
        </w:rPr>
        <w:t>All raw files will remain unchanged. A data inventory will document the source, date range, frequency, variable names, definitions, observations, missing values, and notes for every file. Cleaned datasets will be saved separately from the raw data, and all transformations will be implemented in reproducible code.</w:t>
      </w:r>
    </w:p>
    <w:p ns2:paraId="5FA13A00" ns2:textId="77777777" w:rsidR="008674B3" w:rsidRDefault="00000000">
      <w:pPr>
        <w:spacing w:after="200" w:line="480" w:lineRule="auto"/>
        <w:ind w:firstLine="720"/>
      </w:pPr>
      <w:r>
        <w:rPr>
          <w:rFonts w:eastAsia="Times New Roman"/>
        </w:rPr>
        <w:t>The national house price index will be transformed into log growth. The primary measure will be year-over-year monthly growth, calculated as the difference between the log index and its value twelve months earlier. Alternative monthly and quarterly growth measures will be examined as robustness checks.</w:t>
      </w:r>
    </w:p>
    <w:p ns2:paraId="5FA13A00" ns2:textId="77777777" w:rsidR="008674B3" w:rsidRDefault="00000000">
      <w:pPr>
        <w:spacing w:after="200" w:line="480" w:lineRule="auto"/>
        <w:ind w:firstLine="720"/>
      </w:pPr>
      <w:r>
        <w:rPr>
          <w:rFonts w:eastAsia="Times New Roman"/>
        </w:rPr>
        <w:t>Interest-rate variables will primarily be represented by changes rather than only levels. The main specification will use changes in the federal funds rate, while the 10-year Treasury yield and mortgage rates will be considered as alternative measures when the necessary data are available. Inflation, unemployment, and payroll employment will be considered as controls.</w:t>
      </w:r>
    </w:p>
    <w:p ns2:paraId="5FA13A00" ns2:textId="77777777" w:rsidR="008674B3" w:rsidRDefault="00000000">
      <w:pPr>
        <w:spacing w:after="200" w:line="480" w:lineRule="auto"/>
        <w:ind w:firstLine="720"/>
      </w:pPr>
      <w:r>
        <w:rPr>
          <w:rFonts w:eastAsia="Times New Roman"/>
        </w:rPr>
        <w:t>For the state panel, each state HPI will be transformed into quarterly log growth. The seven state files will be reshaped into a long-format panel containing state, quarter, HPI, HPI growth, rate changes, inflation, and other selected controls. Stationarity, missing values, and duplicate dates will be checked before estimation.</w:t>
      </w:r>
    </w:p>
    <w:p ns2:paraId="580C0178" ns2:textId="77777777" w:rsidR="008674B3" w:rsidRDefault="00000000">
      <w:pPr>
        <w:pStyle w:val="1"/>
      </w:pPr>
      <w:r>
        <w:t>Methodology</w:t>
      </w:r>
    </w:p>
    <w:p ns2:paraId="223361EE" ns2:textId="77777777" w:rsidR="008674B3" w:rsidRDefault="00000000">
      <w:pPr>
        <w:pStyle w:val="2"/>
      </w:pPr>
      <w:r>
        <w:t>Model 1: National Baseline</w:t>
      </w:r>
    </w:p>
    <w:p ns2:paraId="5FA13A00" ns2:textId="77777777" w:rsidR="008674B3" w:rsidRDefault="00000000">
      <w:pPr>
        <w:spacing w:after="200" w:line="480" w:lineRule="auto"/>
        <w:ind w:firstLine="720"/>
      </w:pPr>
      <w:r>
        <w:rPr>
          <w:rFonts w:eastAsia="Times New Roman"/>
        </w:rPr>
        <w:t>The first model estimates the average association between national housing-price growth and macroeconomic variables. A lagged dependent variable will be included to account for persistence in housing prices:</w:t>
      </w:r>
    </w:p>
    <w:p ns2:paraId="5FA13A00" ns2:textId="77777777" w:rsidR="008674B3" w:rsidRDefault="00000000">
      <w:pPr>
        <w:spacing w:after="200" w:line="480" w:lineRule="auto"/>
        <w:ind w:firstLine="720"/>
      </w:pPr>
      <w:r>
        <w:rPr>
          <w:rFonts w:eastAsia="Times New Roman"/>
        </w:rPr>
        <w:t>HPI Growth(t) = b0 + b1 Rate Change(t) + b2 Inflation(t) + b3 Unemployment(t) + b4 HPI Growth(t-1) + e(t)</w:t>
      </w:r>
    </w:p>
    <w:p ns2:paraId="5FA13A00" ns2:textId="77777777" w:rsidR="008674B3" w:rsidRDefault="00000000">
      <w:pPr>
        <w:spacing w:after="200" w:line="480" w:lineRule="auto"/>
        <w:ind w:firstLine="720"/>
      </w:pPr>
      <w:r>
        <w:rPr>
          <w:rFonts w:eastAsia="Times New Roman"/>
        </w:rPr>
        <w:t>The model will be estimated using the monthly sample. Newey-West or another appropriate heteroskedasticity-and-autocorrelation consistent standard error will be considered because macroeconomic time series may have serially correlated errors.</w:t>
      </w:r>
    </w:p>
    <w:p ns2:paraId="223361EE" ns2:textId="77777777" w:rsidR="008674B3" w:rsidRDefault="00000000">
      <w:pPr>
        <w:pStyle w:val="2"/>
      </w:pPr>
      <w:r>
        <w:t>Model 2: Distributed-Lag Analysis</w:t>
      </w:r>
    </w:p>
    <w:p ns2:paraId="5FA13A00" ns2:textId="77777777" w:rsidR="008674B3" w:rsidRDefault="00000000">
      <w:pPr>
        <w:spacing w:after="200" w:line="480" w:lineRule="auto"/>
        <w:ind w:firstLine="720"/>
      </w:pPr>
      <w:r>
        <w:rPr>
          <w:rFonts w:eastAsia="Times New Roman"/>
        </w:rPr>
        <w:t>The second model is the main model for estimating response timing. It will include current and lagged interest-rate changes over reasonable windows, such as one to six months, one to twelve months, one to eighteen months, and one to twenty-four months:</w:t>
      </w:r>
    </w:p>
    <w:p ns2:paraId="5FA13A00" ns2:textId="77777777" w:rsidR="008674B3" w:rsidRDefault="00000000">
      <w:pPr>
        <w:spacing w:after="200" w:line="480" w:lineRule="auto"/>
        <w:ind w:firstLine="720"/>
      </w:pPr>
      <w:r>
        <w:rPr>
          <w:rFonts w:eastAsia="Times New Roman"/>
        </w:rPr>
        <w:t>HPI Growth(t) = b0 + sum from k=0 to K of bk Rate Change(t-k) + controls(t) + lagged HPI Growth(t) + e(t)</w:t>
      </w:r>
    </w:p>
    <w:p ns2:paraId="5FA13A00" ns2:textId="77777777" w:rsidR="008674B3" w:rsidRDefault="00000000">
      <w:pPr>
        <w:spacing w:after="200" w:line="480" w:lineRule="auto"/>
        <w:ind w:firstLine="720"/>
      </w:pPr>
      <w:r>
        <w:rPr>
          <w:rFonts w:eastAsia="Times New Roman"/>
        </w:rPr>
        <w:t>The response timing will not be selected only by choosing the lag with the smallest p-value. Models will be compared using economic reasoning, cumulative effects, information criteria, residual diagnostics, and robustness across alternative lag windows. The main interpretation will focus on when the cumulative response becomes meaningful and whether the pattern is stable across specifications.</w:t>
      </w:r>
    </w:p>
    <w:p ns2:paraId="223361EE" ns2:textId="77777777" w:rsidR="008674B3" w:rsidRDefault="00000000">
      <w:pPr>
        <w:pStyle w:val="2"/>
      </w:pPr>
      <w:r>
        <w:t>Model 3: State Heterogeneity</w:t>
      </w:r>
    </w:p>
    <w:p ns2:paraId="5FA13A00" ns2:textId="77777777" w:rsidR="008674B3" w:rsidRDefault="00000000">
      <w:pPr>
        <w:spacing w:after="200" w:line="480" w:lineRule="auto"/>
        <w:ind w:firstLine="720"/>
      </w:pPr>
      <w:r>
        <w:rPr>
          <w:rFonts w:eastAsia="Times New Roman"/>
        </w:rPr>
        <w:t>The third model uses a state fixed-effects panel to estimate differences across the seven states:</w:t>
      </w:r>
    </w:p>
    <w:p ns2:paraId="5FA13A00" ns2:textId="77777777" w:rsidR="008674B3" w:rsidRDefault="00000000">
      <w:pPr>
        <w:spacing w:after="200" w:line="480" w:lineRule="auto"/>
        <w:ind w:firstLine="720"/>
      </w:pPr>
      <w:r>
        <w:rPr>
          <w:rFonts w:eastAsia="Times New Roman"/>
        </w:rPr>
        <w:t>HPI Growth(s,t) = a(s) + b1 Rate Change(t) + b2 Inflation(t) + b3 HPI Growth(s,t-1) + g1[Rate Change(t) x State(s)] + e(s,t)</w:t>
      </w:r>
    </w:p>
    <w:p ns2:paraId="5FA13A00" ns2:textId="77777777" w:rsidR="008674B3" w:rsidRDefault="00000000">
      <w:pPr>
        <w:spacing w:after="200" w:line="480" w:lineRule="auto"/>
        <w:ind w:firstLine="720"/>
      </w:pPr>
      <w:r>
        <w:rPr>
          <w:rFonts w:eastAsia="Times New Roman"/>
        </w:rPr>
        <w:t>State fixed effects control for stable differences across states. The interaction terms test whether the response to the same national interest-rate change differs by state. The model will use appropriate panel standard errors, with the limited number of states acknowledged as a limitation.</w:t>
      </w:r>
    </w:p>
    <w:p ns2:paraId="5FA13A00" ns2:textId="77777777" w:rsidR="008674B3" w:rsidRDefault="00000000">
      <w:pPr>
        <w:spacing w:after="200" w:line="480" w:lineRule="auto"/>
        <w:ind w:firstLine="720"/>
      </w:pPr>
      <w:r>
        <w:rPr>
          <w:rFonts w:eastAsia="Times New Roman"/>
        </w:rPr>
        <w:t>Because national macroeconomic variables have the same value for every state in a given quarter, complete time fixed effects would absorb their main effects. The model specification will therefore distinguish between estimating the common national association and estimating state-specific differences. This identification issue will be explained explicitly in the final report.</w:t>
      </w:r>
    </w:p>
    <w:p ns2:paraId="223361EE" ns2:textId="77777777" w:rsidR="008674B3" w:rsidRDefault="00000000">
      <w:pPr>
        <w:pStyle w:val="2"/>
      </w:pPr>
      <w:r>
        <w:t>Model 4: Robustness and Optional Extensions</w:t>
      </w:r>
    </w:p>
    <w:p ns2:paraId="5FA13A00" ns2:textId="77777777" w:rsidR="008674B3" w:rsidRDefault="00000000">
      <w:pPr>
        <w:spacing w:after="200" w:line="480" w:lineRule="auto"/>
        <w:ind w:firstLine="720"/>
      </w:pPr>
      <w:r>
        <w:rPr>
          <w:rFonts w:eastAsia="Times New Roman"/>
        </w:rPr>
        <w:t>Robustness checks will examine alternative HPI transformations, alternative interest-rate measures, alternative lag lengths, alternative sample periods, and specifications with and without selected controls. A COVID-19 indicator beginning in 2020 Q1 may be used with interaction terms or separate-period estimates to evaluate whether the relationship changed after the pandemic began.</w:t>
      </w:r>
    </w:p>
    <w:p ns2:paraId="5FA13A00" ns2:textId="77777777" w:rsidR="008674B3" w:rsidRDefault="00000000">
      <w:pPr>
        <w:spacing w:after="200" w:line="480" w:lineRule="auto"/>
        <w:ind w:firstLine="720"/>
      </w:pPr>
      <w:r>
        <w:rPr>
          <w:rFonts w:eastAsia="Times New Roman"/>
        </w:rPr>
        <w:t>A VAR may be considered as an optional extension if the distributed-lag results leave an important question unanswered. Ridge and LASSO will not be part of the main analysis unless a clearly defined forecasting question remains after the explanatory models are complete. The statistical analysis remains the core of the project.</w:t>
      </w:r>
    </w:p>
    <w:p ns2:paraId="580C0178" ns2:textId="77777777" w:rsidR="008674B3" w:rsidRDefault="00000000">
      <w:pPr>
        <w:pStyle w:val="1"/>
      </w:pPr>
      <w:r>
        <w:t>Hypotheses</w:t>
      </w:r>
    </w:p>
    <w:p ns2:paraId="5FA13A00" ns2:textId="77777777" w:rsidR="008674B3" w:rsidRDefault="00000000">
      <w:pPr>
        <w:spacing w:after="200" w:line="480" w:lineRule="auto"/>
        <w:ind w:firstLine="720"/>
      </w:pPr>
      <w:r>
        <w:rPr>
          <w:rFonts w:eastAsia="Times New Roman"/>
        </w:rPr>
        <w:t>This study does not assume a specific numerical result, but it evaluates the following propositions:</w:t>
      </w:r>
    </w:p>
    <w:p ns2:paraId="5FA13A00" ns2:textId="77777777" w:rsidR="008674B3" w:rsidRDefault="00000000">
      <w:pPr>
        <w:spacing w:after="200" w:line="480" w:lineRule="auto"/>
        <w:ind w:firstLine="720"/>
      </w:pPr>
      <w:r>
        <w:rPr>
          <w:rFonts w:eastAsia="Times New Roman"/>
        </w:rPr>
        <w:t>1. Changes in interest rates are associated with subsequent changes in U.S. housing-price growth.</w:t>
      </w:r>
    </w:p>
    <w:p ns2:paraId="5FA13A00" ns2:textId="77777777" w:rsidR="008674B3" w:rsidRDefault="00000000">
      <w:pPr>
        <w:spacing w:after="200" w:line="480" w:lineRule="auto"/>
        <w:ind w:firstLine="720"/>
      </w:pPr>
      <w:r>
        <w:rPr>
          <w:rFonts w:eastAsia="Times New Roman"/>
        </w:rPr>
        <w:t>2. The housing-price response is distributed over several months rather than occurring entirely in the same month as the interest-rate change.</w:t>
      </w:r>
    </w:p>
    <w:p ns2:paraId="5FA13A00" ns2:textId="77777777" w:rsidR="008674B3" w:rsidRDefault="00000000">
      <w:pPr>
        <w:spacing w:after="200" w:line="480" w:lineRule="auto"/>
        <w:ind w:firstLine="720"/>
      </w:pPr>
      <w:r>
        <w:rPr>
          <w:rFonts w:eastAsia="Times New Roman"/>
        </w:rPr>
        <w:t>3. The magnitude of the response differs across the seven states because their housing-market conditions are different.</w:t>
      </w:r>
    </w:p>
    <w:p ns2:paraId="5FA13A00" ns2:textId="77777777" w:rsidR="008674B3" w:rsidRDefault="00000000">
      <w:pPr>
        <w:spacing w:after="200" w:line="480" w:lineRule="auto"/>
        <w:ind w:firstLine="720"/>
      </w:pPr>
      <w:r>
        <w:rPr>
          <w:rFonts w:eastAsia="Times New Roman"/>
        </w:rPr>
        <w:t>4. The main conclusions may differ across pre-COVID and post-COVID periods, but this will be treated as an empirical question rather than an assumed result.</w:t>
      </w:r>
    </w:p>
    <w:p ns2:paraId="580C0178" ns2:textId="77777777" w:rsidR="008674B3" w:rsidRDefault="00000000">
      <w:pPr>
        <w:pStyle w:val="1"/>
      </w:pPr>
      <w:r>
        <w:t>Limitations</w:t>
      </w:r>
    </w:p>
    <w:p ns2:paraId="5FA13A00" ns2:textId="77777777" w:rsidR="008674B3" w:rsidRDefault="00000000">
      <w:pPr>
        <w:spacing w:after="200" w:line="480" w:lineRule="auto"/>
        <w:ind w:firstLine="720"/>
      </w:pPr>
      <w:r>
        <w:rPr>
          <w:rFonts w:eastAsia="Times New Roman"/>
        </w:rPr>
        <w:t>First, national interest-rate variables do not vary across states in a given period. The state model can identify differences in state responses through interaction terms, but it cannot provide a fully independent interest-rate shock for every state.</w:t>
      </w:r>
    </w:p>
    <w:p ns2:paraId="5FA13A00" ns2:textId="77777777" w:rsidR="008674B3" w:rsidRDefault="00000000">
      <w:pPr>
        <w:spacing w:after="200" w:line="480" w:lineRule="auto"/>
        <w:ind w:firstLine="720"/>
      </w:pPr>
      <w:r>
        <w:rPr>
          <w:rFonts w:eastAsia="Times New Roman"/>
        </w:rPr>
        <w:t>Second, the analysis primarily estimates dynamic associations rather than definitive causal effects. Interest rates, inflation, employment, and housing prices may influence one another, and omitted variables may remain.</w:t>
      </w:r>
    </w:p>
    <w:p ns2:paraId="5FA13A00" ns2:textId="77777777" w:rsidR="008674B3" w:rsidRDefault="00000000">
      <w:pPr>
        <w:spacing w:after="200" w:line="480" w:lineRule="auto"/>
        <w:ind w:firstLine="720"/>
      </w:pPr>
      <w:r>
        <w:rPr>
          <w:rFonts w:eastAsia="Times New Roman"/>
        </w:rPr>
        <w:t>Third, the FHFA index is based on repeat-sale information and may not fully represent the experience of first-time buyers, renters, or new construction. It also measures prices rather than all aspects of housing activity.</w:t>
      </w:r>
    </w:p>
    <w:p ns2:paraId="5FA13A00" ns2:textId="77777777" w:rsidR="008674B3" w:rsidRDefault="00000000">
      <w:pPr>
        <w:spacing w:after="200" w:line="480" w:lineRule="auto"/>
        <w:ind w:firstLine="720"/>
      </w:pPr>
      <w:r>
        <w:rPr>
          <w:rFonts w:eastAsia="Times New Roman"/>
        </w:rPr>
        <w:t>Fourth, quarterly state data provide less time resolution than monthly national data. The state analysis can compare quarterly timing and magnitude, but it cannot estimate exact monthly response dates for every state.</w:t>
      </w:r>
    </w:p>
    <w:p ns2:paraId="5FA13A00" ns2:textId="77777777" w:rsidR="008674B3" w:rsidRDefault="00000000">
      <w:pPr>
        <w:spacing w:after="200" w:line="480" w:lineRule="auto"/>
        <w:ind w:firstLine="720"/>
      </w:pPr>
      <w:r>
        <w:rPr>
          <w:rFonts w:eastAsia="Times New Roman"/>
        </w:rPr>
        <w:t>Finally, the project examines seven selected states rather than all U.S. states. The results should therefore be interpreted as comparisons among these states, not as a complete ranking of every state housing market.</w:t>
      </w:r>
    </w:p>
    <w:p ns2:paraId="580C0178" ns2:textId="77777777" w:rsidR="008674B3" w:rsidRDefault="00000000">
      <w:pPr>
        <w:pStyle w:val="1"/>
      </w:pPr>
      <w:r>
        <w:t>Project Plan</w:t>
      </w:r>
    </w:p>
    <w:p ns2:paraId="5FA13A00" ns2:textId="77777777" w:rsidR="008674B3" w:rsidRDefault="00000000">
      <w:pPr>
        <w:spacing w:after="200" w:line="480" w:lineRule="auto"/>
        <w:ind w:firstLine="720"/>
      </w:pPr>
      <w:r>
        <w:rPr>
          <w:rFonts w:eastAsia="Times New Roman"/>
        </w:rPr>
        <w:t>Data inventory, source validation, and raw-data documentation (Weeks 1-2)</w:t>
      </w:r>
    </w:p>
    <w:p ns2:paraId="5FA13A00" ns2:textId="77777777" w:rsidR="008674B3" w:rsidRDefault="00000000">
      <w:pPr>
        <w:spacing w:after="200" w:line="480" w:lineRule="auto"/>
        <w:ind w:firstLine="720"/>
      </w:pPr>
      <w:r>
        <w:rPr>
          <w:rFonts w:eastAsia="Times New Roman"/>
        </w:rPr>
        <w:t>Construction of the monthly national dataset and quarterly state panel (Weeks 2-3)</w:t>
      </w:r>
    </w:p>
    <w:p ns2:paraId="5FA13A00" ns2:textId="77777777" w:rsidR="008674B3" w:rsidRDefault="00000000">
      <w:pPr>
        <w:spacing w:after="200" w:line="480" w:lineRule="auto"/>
        <w:ind w:firstLine="720"/>
      </w:pPr>
      <w:r>
        <w:rPr>
          <w:rFonts w:eastAsia="Times New Roman"/>
        </w:rPr>
        <w:t>Exploratory analysis, transformations, and stationarity checks (Weeks 3-4)</w:t>
      </w:r>
    </w:p>
    <w:p ns2:paraId="5FA13A00" ns2:textId="77777777" w:rsidR="008674B3" w:rsidRDefault="00000000">
      <w:pPr>
        <w:spacing w:after="200" w:line="480" w:lineRule="auto"/>
        <w:ind w:firstLine="720"/>
      </w:pPr>
      <w:r>
        <w:rPr>
          <w:rFonts w:eastAsia="Times New Roman"/>
        </w:rPr>
        <w:t>National baseline and distributed-lag models (Weeks 5-6)</w:t>
      </w:r>
    </w:p>
    <w:p ns2:paraId="5FA13A00" ns2:textId="77777777" w:rsidR="008674B3" w:rsidRDefault="00000000">
      <w:pPr>
        <w:spacing w:after="200" w:line="480" w:lineRule="auto"/>
        <w:ind w:firstLine="720"/>
      </w:pPr>
      <w:r>
        <w:rPr>
          <w:rFonts w:eastAsia="Times New Roman"/>
        </w:rPr>
        <w:t>State fixed-effects and interaction model (Weeks 7-8)</w:t>
      </w:r>
    </w:p>
    <w:p ns2:paraId="5FA13A00" ns2:textId="77777777" w:rsidR="008674B3" w:rsidRDefault="00000000">
      <w:pPr>
        <w:spacing w:after="200" w:line="480" w:lineRule="auto"/>
        <w:ind w:firstLine="720"/>
      </w:pPr>
      <w:r>
        <w:rPr>
          <w:rFonts w:eastAsia="Times New Roman"/>
        </w:rPr>
        <w:t>Robustness checks and optional COVID analysis (Weeks 9-10)</w:t>
      </w:r>
    </w:p>
    <w:p ns2:paraId="5FA13A00" ns2:textId="77777777" w:rsidR="008674B3" w:rsidRDefault="00000000">
      <w:pPr>
        <w:spacing w:after="200" w:line="480" w:lineRule="auto"/>
        <w:ind w:firstLine="720"/>
      </w:pPr>
      <w:r>
        <w:rPr>
          <w:rFonts w:eastAsia="Times New Roman"/>
        </w:rPr>
        <w:t>Interpretation, writing, and preparation of figures and tables (Weeks 11-12)</w:t>
      </w:r>
    </w:p>
    <w:p ns2:paraId="580C0178" ns2:textId="77777777" w:rsidR="008674B3" w:rsidRDefault="00000000">
      <w:pPr>
        <w:pStyle w:val="1"/>
      </w:pPr>
      <w:r>
        <w:t>Deliverables</w:t>
      </w:r>
    </w:p>
    <w:p ns2:paraId="5FA13A00" ns2:textId="77777777" w:rsidR="008674B3" w:rsidRDefault="00000000">
      <w:pPr>
        <w:spacing w:after="200" w:line="480" w:lineRule="auto"/>
        <w:ind w:firstLine="720"/>
      </w:pPr>
      <w:r>
        <w:rPr>
          <w:rFonts w:eastAsia="Times New Roman"/>
        </w:rPr>
        <w:t>The project will produce a research paper of approximately 25 to 35 pages in academic format; a documented data inventory; cleaned monthly and quarterly datasets; reproducible Python or R code; saved figures and model outputs; tables describing the baseline, lag, state, and robustness results; and an appendix documenting data processing and model decisions.</w:t>
      </w:r>
    </w:p>
    <w:p ns2:paraId="580C0178" ns2:textId="77777777" w:rsidR="008674B3" w:rsidRDefault="00000000">
      <w:pPr>
        <w:pStyle w:val="1"/>
      </w:pPr>
      <w:r>
        <w:t>Literature Cited</w:t>
      </w:r>
    </w:p>
    <w:p ns2:paraId="5FA13A00" ns2:textId="77777777" w:rsidR="008674B3" w:rsidRDefault="00000000">
      <w:pPr>
        <w:spacing w:after="200" w:line="480" w:lineRule="auto"/>
        <w:ind w:firstLine="720"/>
      </w:pPr>
      <w:r>
        <w:rPr>
          <w:rFonts w:eastAsia="Times New Roman"/>
        </w:rPr>
        <w:t>Blanchard, O., &amp; Bernanke, B. S. (2023). What caused the U.S. pandemic-era inflation? National Bureau of Economic Research Working Paper No. 31417.</w:t>
      </w:r>
    </w:p>
    <w:p ns2:paraId="5FA13A00" ns2:textId="77777777" w:rsidR="008674B3" w:rsidRDefault="00000000">
      <w:pPr>
        <w:spacing w:after="200" w:line="480" w:lineRule="auto"/>
        <w:ind w:firstLine="720"/>
      </w:pPr>
      <w:r>
        <w:rPr>
          <w:rFonts w:eastAsia="Times New Roman"/>
        </w:rPr>
        <w:t>Case, K. E., &amp; Shiller, R. J. (1989). The efficiency of the market for single-family homes. American Economic Review, 79(1), 125-137.</w:t>
      </w:r>
    </w:p>
    <w:p ns2:paraId="5FA13A00" ns2:textId="77777777" w:rsidR="008674B3" w:rsidRDefault="00000000">
      <w:pPr>
        <w:spacing w:after="200" w:line="480" w:lineRule="auto"/>
        <w:ind w:firstLine="720"/>
      </w:pPr>
      <w:r>
        <w:rPr>
          <w:rFonts w:eastAsia="Times New Roman"/>
        </w:rPr>
        <w:t>Federal Housing Finance Agency. (2024). FHFA house price index: State-level data. https://www.fhfa.gov/DataTools/Downloads/Pages/House-Price-Index-Datasets.aspx</w:t>
      </w:r>
    </w:p>
    <w:p ns2:paraId="5FA13A00" ns2:textId="77777777" w:rsidR="008674B3" w:rsidRDefault="00000000">
      <w:pPr>
        <w:spacing w:after="200" w:line="480" w:lineRule="auto"/>
        <w:ind w:firstLine="720"/>
      </w:pPr>
      <w:r>
        <w:rPr>
          <w:rFonts w:eastAsia="Times New Roman"/>
        </w:rPr>
        <w:t>Glaeser, E. L., &amp; Gyourko, J. (2018). The economic implications of housing supply. Journal of Economic Perspectives, 32(1), 3-30.</w:t>
      </w:r>
    </w:p>
    <w:p ns2:paraId="5FA13A00" ns2:textId="77777777" w:rsidR="008674B3" w:rsidRDefault="00000000">
      <w:pPr>
        <w:spacing w:after="200" w:line="480" w:lineRule="auto"/>
        <w:ind w:firstLine="720"/>
      </w:pPr>
      <w:r>
        <w:rPr>
          <w:rFonts w:eastAsia="Times New Roman"/>
        </w:rPr>
        <w:t>McCracken, M. W., &amp; Ng, S. (2016). FRED-MD: A monthly database for macroeconomic research. Journal of Business and Economic Statistics, 34(4), 574-589.</w:t>
      </w:r>
    </w:p>
    <w:p ns2:paraId="580C0178" ns2:textId="77777777" w:rsidR="008674B3" w:rsidRDefault="00000000">
      <w:pPr>
        <w:pStyle w:val="1"/>
      </w:pPr>
      <w:r>
        <w:t>Graduate Committee Approval</w:t>
      </w:r>
    </w:p>
    <w:p ns2:paraId="5FA13A00" ns2:textId="77777777" w:rsidR="008674B3" w:rsidRDefault="00000000">
      <w:pPr>
        <w:spacing w:after="200" w:line="480" w:lineRule="auto"/>
        <w:ind w:firstLine="720"/>
      </w:pPr>
      <w:r>
        <w:rPr>
          <w:rFonts w:eastAsia="Times New Roman"/>
        </w:rPr>
        <w:t>Please have each of your committee members read and sign this document.</w:t>
      </w:r>
    </w:p>
    <w:p ns2:paraId="5FA13A00" ns2:textId="77777777" w:rsidR="008674B3" w:rsidRDefault="00000000">
      <w:pPr>
        <w:spacing w:after="200" w:line="480" w:lineRule="auto"/>
        <w:ind w:firstLine="720"/>
      </w:pPr>
      <w:r>
        <w:rPr>
          <w:rFonts w:eastAsia="Times New Roman"/>
        </w:rPr>
        <w:t>I have read Andy Chen’s project proposal and find it adequate, and I agree to serve on their graduate advisory committee.</w:t>
      </w:r>
    </w:p>
    <w:p ns2:paraId="5FA13A00" ns2:textId="77777777" w:rsidR="008674B3" w:rsidRDefault="00000000">
      <w:pPr>
        <w:spacing w:after="200" w:line="480" w:lineRule="auto"/>
        <w:ind w:firstLine="720"/>
      </w:pPr>
      <w:r>
        <w:rPr>
          <w:rFonts w:eastAsia="Times New Roman"/>
        </w:rPr>
        <w:t>Committee Chair: Nicholas Lytal    Signed: ___________________________    Date: __________</w:t>
      </w:r>
    </w:p>
    <w:p ns2:paraId="5FA13A00" ns2:textId="77777777" w:rsidR="008674B3" w:rsidRDefault="00000000">
      <w:pPr>
        <w:spacing w:after="200" w:line="480" w:lineRule="auto"/>
        <w:ind w:firstLine="720"/>
      </w:pPr>
      <w:r>
        <w:rPr>
          <w:rFonts w:eastAsia="Times New Roman"/>
        </w:rPr>
        <w:t>Second Member: Kathy Gray       Signed: ___________________________    Date: __________</w:t>
      </w:r>
    </w:p>
    <w:sectPr w:rsidR="008674B3">
      <w:footerReference w:type="even" ns3:id="rId7"/>
      <w:footerReference w:type="default" ns3:id="rId8"/>
      <w:footerReference w:type="first" ns3:id="rId9"/>
      <w:pgSz w:w="12240" w:h="15840"/>
      <w:pgMar w:top="1440" w:right="1440" w:bottom="1440" w:left="1440" w:header="0" w:footer="708"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38B423" w14:textId="77777777" w:rsidR="00E062B5" w:rsidRDefault="00E062B5">
      <w:r>
        <w:separator/>
      </w:r>
    </w:p>
  </w:endnote>
  <w:endnote w:type="continuationSeparator" w:id="0">
    <w:p w14:paraId="6B209D8D" w14:textId="77777777" w:rsidR="00E062B5" w:rsidRDefault="00E062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Liberation Sans">
    <w:altName w:val="Arial"/>
    <w:panose1 w:val="020B0604020202020204"/>
    <w:charset w:val="01"/>
    <w:family w:val="swiss"/>
    <w:pitch w:val="variable"/>
  </w:font>
  <w:font w:name="Noto Sans CJK SC">
    <w:panose1 w:val="020B0604020202020204"/>
    <w:charset w:val="00"/>
    <w:family w:val="roman"/>
    <w:notTrueType/>
    <w:pitch w:val="default"/>
  </w:font>
  <w:font w:name="FreeSans">
    <w:altName w:val="Cambria"/>
    <w:panose1 w:val="020B0604020202020204"/>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2A41B3" w14:textId="77777777" w:rsidR="008674B3" w:rsidRDefault="008674B3">
    <w:pPr>
      <w:pStyle w:val="af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2A8A8" w14:textId="77777777" w:rsidR="008674B3" w:rsidRDefault="00000000">
    <w:pPr>
      <w:jc w:val="right"/>
    </w:pPr>
    <w:r>
      <w:fldChar w:fldCharType="begin"/>
    </w:r>
    <w:r>
      <w:instrText xml:space="preserve"> PAGE </w:instrText>
    </w:r>
    <w:r>
      <w:fldChar w:fldCharType="separate"/>
    </w:r>
    <w:r>
      <w:t>12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58FE6" w14:textId="77777777" w:rsidR="008674B3" w:rsidRDefault="00000000">
    <w:pPr>
      <w:jc w:val="right"/>
    </w:pPr>
    <w:r>
      <w:fldChar w:fldCharType="begin"/>
    </w:r>
    <w:r>
      <w:instrText xml:space="preserve"> PAGE </w:instrText>
    </w:r>
    <w:r>
      <w:fldChar w:fldCharType="separate"/>
    </w:r>
    <w:r>
      <w:t>12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190A76" w14:textId="77777777" w:rsidR="00E062B5" w:rsidRDefault="00E062B5">
      <w:r>
        <w:separator/>
      </w:r>
    </w:p>
  </w:footnote>
  <w:footnote w:type="continuationSeparator" w:id="0">
    <w:p w14:paraId="44FF9E0C" w14:textId="77777777" w:rsidR="00E062B5" w:rsidRDefault="00E062B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00CC4"/>
    <w:multiLevelType w:val="multilevel"/>
    <w:tmpl w:val="C900A17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E9060A6"/>
    <w:multiLevelType w:val="multilevel"/>
    <w:tmpl w:val="25385BF6"/>
    <w:lvl w:ilvl="0">
      <w:start w:val="1"/>
      <w:numFmt w:val="bullet"/>
      <w:lvlText w:val=""/>
      <w:lvlJc w:val="left"/>
      <w:pPr>
        <w:tabs>
          <w:tab w:val="num" w:pos="0"/>
        </w:tabs>
        <w:ind w:left="720" w:hanging="360"/>
      </w:pPr>
      <w:rPr>
        <w:rFonts w:ascii="Symbol" w:hAnsi="Symbol" w:cs="Symbol" w:hint="default"/>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2" w15:restartNumberingAfterBreak="0">
    <w:nsid w:val="6517025C"/>
    <w:multiLevelType w:val="multilevel"/>
    <w:tmpl w:val="47D42270"/>
    <w:lvl w:ilvl="0">
      <w:start w:val="1"/>
      <w:numFmt w:val="decimal"/>
      <w:lvlText w:val="%1."/>
      <w:lvlJc w:val="left"/>
      <w:pPr>
        <w:tabs>
          <w:tab w:val="num" w:pos="0"/>
        </w:tabs>
        <w:ind w:left="720" w:hanging="360"/>
      </w:p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num w:numId="1" w16cid:durableId="591356768">
    <w:abstractNumId w:val="1"/>
  </w:num>
  <w:num w:numId="2" w16cid:durableId="591623421">
    <w:abstractNumId w:val="2"/>
  </w:num>
  <w:num w:numId="3" w16cid:durableId="1124158131">
    <w:abstractNumId w:val="0"/>
  </w:num>
  <w:num w:numId="4" w16cid:durableId="1879927441">
    <w:abstractNumId w:val="1"/>
    <w:lvlOverride w:ilvl="0">
      <w:startOverride w:val="1"/>
    </w:lvlOverride>
  </w:num>
  <w:num w:numId="5" w16cid:durableId="207867403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480"/>
  <w:autoHyphenation/>
  <w:characterSpacingControl w:val="doNotCompress"/>
  <w:footnotePr>
    <w:footnote w:id="-1"/>
    <w:footnote w:id="0"/>
  </w:footnotePr>
  <w:endnotePr>
    <w:endnote w:id="-1"/>
    <w:endnote w:id="0"/>
  </w:endnotePr>
  <w:compat>
    <w:useFELayou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74B3"/>
    <w:rsid w:val="000B5316"/>
    <w:rsid w:val="00732D57"/>
    <w:rsid w:val="008674B3"/>
    <w:rsid w:val="00E062B5"/>
  </w:rsids>
  <m:mathPr>
    <m:mathFont m:val="Cambria Math"/>
    <m:brkBin m:val="before"/>
    <m:brkBinSub m:val="--"/>
    <m:smallFrac m:val="0"/>
    <m:dispDef/>
    <m:lMargin m:val="0"/>
    <m:rMargin m:val="0"/>
    <m:defJc m:val="centerGroup"/>
    <m:wrapIndent m:val="1440"/>
    <m:intLim m:val="subSup"/>
    <m:naryLim m:val="undOvr"/>
  </m:mathPr>
  <w:themeFontLang w:val="en-US" w:eastAsia="zh-TW" w:bidi=""/>
  <w:clrSchemeMapping w:bg1="light1" w:t1="dark1" w:bg2="light2" w:t2="dark2" w:accent1="accent1" w:accent2="accent2" w:accent3="accent3" w:accent4="accent4" w:accent5="accent5" w:accent6="accent6" w:hyperlink="hyperlink" w:followedHyperlink="followedHyperlink"/>
  <w:decimalSymbol w:val="."/>
  <w:listSeparator w:val=","/>
  <w14:docId w14:val="3974CB4A"/>
  <w15:docId w15:val="{BB587B97-D9BC-A549-B891-9B64D808EC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color w:val="000000"/>
        <w:sz w:val="24"/>
        <w:szCs w:val="24"/>
        <w:lang w:val="en-US" w:eastAsia="zh-TW"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360" w:after="120"/>
      <w:outlineLvl w:val="0"/>
    </w:pPr>
    <w:rPr>
      <w:rFonts w:eastAsia="Times New Roman"/>
      <w:b/>
      <w:bCs/>
    </w:rPr>
  </w:style>
  <w:style w:type="paragraph" w:styleId="2">
    <w:name w:val="heading 2"/>
    <w:uiPriority w:val="9"/>
    <w:unhideWhenUsed/>
    <w:qFormat/>
    <w:pPr>
      <w:spacing w:before="240" w:after="80"/>
      <w:outlineLvl w:val="1"/>
    </w:pPr>
    <w:rPr>
      <w:rFonts w:eastAsia="Times New Roman"/>
      <w:b/>
      <w:bCs/>
    </w:rPr>
  </w:style>
  <w:style w:type="paragraph" w:styleId="3">
    <w:name w:val="heading 3"/>
    <w:uiPriority w:val="9"/>
    <w:semiHidden/>
    <w:unhideWhenUsed/>
    <w:qFormat/>
    <w:pPr>
      <w:outlineLvl w:val="2"/>
    </w:pPr>
    <w:rPr>
      <w:rFonts w:eastAsia="新細明體"/>
      <w:color w:val="1F4D78"/>
    </w:rPr>
  </w:style>
  <w:style w:type="paragraph" w:styleId="4">
    <w:name w:val="heading 4"/>
    <w:uiPriority w:val="9"/>
    <w:semiHidden/>
    <w:unhideWhenUsed/>
    <w:qFormat/>
    <w:pPr>
      <w:outlineLvl w:val="3"/>
    </w:pPr>
    <w:rPr>
      <w:rFonts w:eastAsia="新細明體"/>
      <w:i/>
      <w:iCs/>
      <w:color w:val="2E74B5"/>
    </w:rPr>
  </w:style>
  <w:style w:type="paragraph" w:styleId="5">
    <w:name w:val="heading 5"/>
    <w:uiPriority w:val="9"/>
    <w:semiHidden/>
    <w:unhideWhenUsed/>
    <w:qFormat/>
    <w:pPr>
      <w:outlineLvl w:val="4"/>
    </w:pPr>
    <w:rPr>
      <w:rFonts w:eastAsia="新細明體"/>
      <w:color w:val="2E74B5"/>
    </w:rPr>
  </w:style>
  <w:style w:type="paragraph" w:styleId="6">
    <w:name w:val="heading 6"/>
    <w:uiPriority w:val="9"/>
    <w:semiHidden/>
    <w:unhideWhenUsed/>
    <w:qFormat/>
    <w:pPr>
      <w:outlineLvl w:val="5"/>
    </w:pPr>
    <w:rPr>
      <w:rFonts w:eastAsia="新細明體"/>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a4">
    <w:name w:val="footnote reference"/>
    <w:rPr>
      <w:vertAlign w:val="superscript"/>
    </w:rPr>
  </w:style>
  <w:style w:type="character" w:customStyle="1" w:styleId="a5">
    <w:name w:val="註腳文字 字元"/>
    <w:link w:val="a6"/>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a7">
    <w:name w:val="endnote reference"/>
    <w:rPr>
      <w:vertAlign w:val="superscript"/>
    </w:rPr>
  </w:style>
  <w:style w:type="character" w:customStyle="1" w:styleId="a8">
    <w:name w:val="章節附註文字 字元"/>
    <w:link w:val="a9"/>
    <w:uiPriority w:val="99"/>
    <w:semiHidden/>
    <w:unhideWhenUsed/>
    <w:qFormat/>
    <w:rPr>
      <w:sz w:val="20"/>
      <w:szCs w:val="20"/>
    </w:rPr>
  </w:style>
  <w:style w:type="character" w:styleId="aa">
    <w:name w:val="line number"/>
  </w:style>
  <w:style w:type="paragraph" w:customStyle="1" w:styleId="Heading">
    <w:name w:val="Heading"/>
    <w:basedOn w:val="a"/>
    <w:next w:val="ab"/>
    <w:qFormat/>
    <w:pPr>
      <w:keepNext/>
      <w:spacing w:before="240" w:after="120"/>
    </w:pPr>
    <w:rPr>
      <w:rFonts w:ascii="Liberation Sans" w:eastAsia="Noto Sans CJK SC" w:hAnsi="Liberation Sans" w:cs="FreeSans"/>
      <w:sz w:val="28"/>
      <w:szCs w:val="28"/>
    </w:rPr>
  </w:style>
  <w:style w:type="paragraph" w:styleId="ab">
    <w:name w:val="Body Text"/>
    <w:basedOn w:val="a"/>
    <w:pPr>
      <w:spacing w:after="140" w:line="276" w:lineRule="auto"/>
    </w:pPr>
  </w:style>
  <w:style w:type="paragraph" w:styleId="ac">
    <w:name w:val="List"/>
    <w:basedOn w:val="ab"/>
    <w:rPr>
      <w:rFonts w:cs="FreeSans"/>
    </w:rPr>
  </w:style>
  <w:style w:type="paragraph" w:styleId="ad">
    <w:name w:val="caption"/>
    <w:basedOn w:val="a"/>
    <w:qFormat/>
    <w:pPr>
      <w:suppressLineNumbers/>
      <w:spacing w:before="120" w:after="120"/>
    </w:pPr>
    <w:rPr>
      <w:rFonts w:cs="FreeSans"/>
      <w:i/>
      <w:iCs/>
    </w:rPr>
  </w:style>
  <w:style w:type="paragraph" w:customStyle="1" w:styleId="Index">
    <w:name w:val="Index"/>
    <w:basedOn w:val="a"/>
    <w:qFormat/>
    <w:pPr>
      <w:suppressLineNumbers/>
    </w:pPr>
    <w:rPr>
      <w:rFonts w:cs="FreeSans"/>
    </w:rPr>
  </w:style>
  <w:style w:type="paragraph" w:styleId="ae">
    <w:name w:val="Title"/>
    <w:uiPriority w:val="10"/>
    <w:qFormat/>
    <w:rPr>
      <w:sz w:val="56"/>
      <w:szCs w:val="56"/>
    </w:rPr>
  </w:style>
  <w:style w:type="paragraph" w:customStyle="1" w:styleId="10">
    <w:name w:val="強調粗體1"/>
    <w:qFormat/>
    <w:rPr>
      <w:b/>
      <w:bCs/>
    </w:rPr>
  </w:style>
  <w:style w:type="paragraph" w:styleId="af">
    <w:name w:val="List Paragraph"/>
    <w:qFormat/>
  </w:style>
  <w:style w:type="paragraph" w:styleId="a6">
    <w:name w:val="footnote text"/>
    <w:link w:val="a5"/>
    <w:uiPriority w:val="99"/>
    <w:semiHidden/>
    <w:unhideWhenUsed/>
    <w:rPr>
      <w:sz w:val="20"/>
      <w:szCs w:val="20"/>
    </w:rPr>
  </w:style>
  <w:style w:type="paragraph" w:styleId="a9">
    <w:name w:val="endnote text"/>
    <w:link w:val="a8"/>
    <w:uiPriority w:val="99"/>
    <w:semiHidden/>
    <w:unhideWhenUsed/>
    <w:rPr>
      <w:sz w:val="20"/>
      <w:szCs w:val="20"/>
    </w:rPr>
  </w:style>
  <w:style w:type="paragraph" w:customStyle="1" w:styleId="HeaderandFooter">
    <w:name w:val="Header and Footer"/>
    <w:basedOn w:val="a"/>
    <w:qFormat/>
  </w:style>
  <w:style w:type="paragraph" w:styleId="af0">
    <w:name w:val="footer"/>
    <w:basedOn w:val="HeaderandFoote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佈景主題">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TotalTime>
  <Pages>12</Pages>
  <Words>2283</Words>
  <Characters>13018</Characters>
  <Application>Microsoft Office Word</Application>
  <DocSecurity>0</DocSecurity>
  <Lines>108</Lines>
  <Paragraphs>30</Paragraphs>
  <ScaleCrop>false</ScaleCrop>
  <Company/>
  <LinksUpToDate>false</LinksUpToDate>
  <CharactersWithSpaces>15271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dc:description/>
  <cp:lastModifiedBy>Andy Chen</cp:lastModifiedBy>
  <cp:revision>5</cp:revision>
  <dcterms:created xsi:type="dcterms:W3CDTF">2026-04-16T23:46:00Z</dcterms:created>
  <dcterms:modified xsi:type="dcterms:W3CDTF">2026-04-23T17:05:00Z</dcterms:modified>
  <dc:language>en-US</dc:language>
</cp:coreProperties>
</file>