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9BBE" w14:textId="77777777" w:rsidR="00177E7E" w:rsidRPr="00D15F5D" w:rsidRDefault="00000000">
      <w:pPr>
        <w:spacing w:before="1440" w:after="240"/>
        <w:jc w:val="center"/>
        <w:rPr>
          <w:sz w:val="48"/>
          <w:szCs w:val="48"/>
        </w:rPr>
      </w:pPr>
      <w:r w:rsidRPr="00D15F5D">
        <w:rPr>
          <w:rFonts w:eastAsia="Times New Roman"/>
          <w:b/>
          <w:bCs/>
          <w:sz w:val="48"/>
          <w:szCs w:val="48"/>
        </w:rPr>
        <w:t>How Do Housing Market Responses to Macroeconomic Shocks Differ Across U.S. States?</w:t>
      </w:r>
    </w:p>
    <w:p w14:paraId="4AC8731B" w14:textId="77777777" w:rsidR="00177E7E" w:rsidRDefault="00000000">
      <w:pPr>
        <w:spacing w:after="240" w:line="480" w:lineRule="auto"/>
        <w:jc w:val="center"/>
      </w:pPr>
      <w:r>
        <w:rPr>
          <w:rFonts w:eastAsia="Times New Roman"/>
        </w:rPr>
        <w:t>Andy Chen</w:t>
      </w:r>
    </w:p>
    <w:p w14:paraId="06F4BDA9" w14:textId="77777777" w:rsidR="00177E7E" w:rsidRDefault="00000000">
      <w:pPr>
        <w:spacing w:after="240" w:line="480" w:lineRule="auto"/>
        <w:jc w:val="center"/>
      </w:pPr>
      <w:r>
        <w:rPr>
          <w:rFonts w:eastAsia="Times New Roman"/>
        </w:rPr>
        <w:t>Master of Science in Data Science and Analytics</w:t>
      </w:r>
    </w:p>
    <w:p w14:paraId="45B08E64" w14:textId="3D3DDFAE" w:rsidR="00177E7E" w:rsidRDefault="00000000" w:rsidP="00D15F5D">
      <w:pPr>
        <w:spacing w:after="240" w:line="480" w:lineRule="auto"/>
        <w:jc w:val="center"/>
      </w:pPr>
      <w:r>
        <w:rPr>
          <w:rFonts w:eastAsia="Times New Roman"/>
        </w:rPr>
        <w:t>California State University, Chico</w:t>
      </w:r>
    </w:p>
    <w:p w14:paraId="215368DF" w14:textId="77777777" w:rsidR="00177E7E" w:rsidRDefault="00000000">
      <w:pPr>
        <w:pStyle w:val="1"/>
      </w:pPr>
      <w:r>
        <w:t>Introduction</w:t>
      </w:r>
    </w:p>
    <w:p w14:paraId="17EB04FC" w14:textId="77777777" w:rsidR="00177E7E" w:rsidRDefault="00000000">
      <w:pPr>
        <w:spacing w:after="200" w:line="480" w:lineRule="auto"/>
        <w:ind w:firstLine="720"/>
      </w:pPr>
      <w:r>
        <w:rPr>
          <w:rFonts w:eastAsia="Times New Roman"/>
        </w:rPr>
        <w:t>Owning a home has long been one of the main ways American families build wealth and stability. But over the past few years, that has become much harder to do. Rising inflation, higher interest rates, and fast-growing home prices have all hit at the same time, making it difficult for many people to buy a home.</w:t>
      </w:r>
    </w:p>
    <w:p w14:paraId="2E2B0673" w14:textId="77777777" w:rsidR="00177E7E" w:rsidRDefault="00000000">
      <w:pPr>
        <w:spacing w:after="200" w:line="480" w:lineRule="auto"/>
        <w:ind w:firstLine="720"/>
      </w:pPr>
      <w:r>
        <w:rPr>
          <w:rFonts w:eastAsia="Times New Roman"/>
        </w:rPr>
        <w:t>Since 2020, inflation in the United States has been at its highest level in decades. The Consumer Price Index (CPI) shot up in 2021 and 2022, driven by supply chain problems and high consumer demand following the COVID-19 pandemic (Blanchard &amp; Bernanke, 2023). At the same time, home prices across the country climbed more than 40 percent between 2020 and 2023 (Federal Housing Finance Agency, 2024). To fight inflation, the Federal Reserve raised interest rates from near zero to over five percent in just two years, which made mortgages much more expensive.</w:t>
      </w:r>
    </w:p>
    <w:p w14:paraId="43A32785" w14:textId="77777777" w:rsidR="00177E7E" w:rsidRDefault="00000000">
      <w:pPr>
        <w:spacing w:after="200" w:line="480" w:lineRule="auto"/>
        <w:ind w:firstLine="720"/>
      </w:pPr>
      <w:r>
        <w:rPr>
          <w:rFonts w:eastAsia="Times New Roman"/>
        </w:rPr>
        <w:lastRenderedPageBreak/>
        <w:t>Most research on this topic looks at the national level, treating the whole country as one housing market. But that is not how housing markets actually work. States like California and New York have very expensive homes and strict limits on new construction. States like Texas have more room to build and lower prices. When the Federal Reserve raises interest rates, these states are likely to react differently. A study that only looks at national averages would miss those differences.</w:t>
      </w:r>
    </w:p>
    <w:p w14:paraId="652FE691" w14:textId="77777777" w:rsidR="00177E7E" w:rsidRDefault="00000000">
      <w:pPr>
        <w:spacing w:after="200" w:line="480" w:lineRule="auto"/>
        <w:ind w:firstLine="720"/>
      </w:pPr>
      <w:r>
        <w:rPr>
          <w:rFonts w:eastAsia="Times New Roman"/>
        </w:rPr>
        <w:t>This study looks at how housing activity responds to changes in inflation and interest rates, and whether those responses differ across states. It also tests whether the relationship between macroeconomic conditions and housing changed after the COVID-19 pandemic. The macroeconomic data comes from the FRED-QD dataset (March 2026 vintage), a quarterly macroeconomic database maintained by the Federal Reserve Bank of St. Louis. State-level house price data come from the Federal Housing Finance Agency (FHFA) for seven states: California, New York, Texas, Florida, Ohio, Illinois, and Arizona.</w:t>
      </w:r>
    </w:p>
    <w:p w14:paraId="79AD2CED" w14:textId="77777777" w:rsidR="00177E7E" w:rsidRDefault="00000000">
      <w:pPr>
        <w:pStyle w:val="1"/>
      </w:pPr>
      <w:r>
        <w:t>Statement of Problem</w:t>
      </w:r>
    </w:p>
    <w:p w14:paraId="03A181A7" w14:textId="77777777" w:rsidR="00177E7E" w:rsidRDefault="00000000">
      <w:pPr>
        <w:spacing w:after="200" w:line="480" w:lineRule="auto"/>
        <w:ind w:firstLine="720"/>
      </w:pPr>
      <w:r>
        <w:rPr>
          <w:rFonts w:eastAsia="Times New Roman"/>
        </w:rPr>
        <w:t>When inflation rises or interest rates go up, housing activity tends to slow down. But the size of that slowdown probably depends on what kind of housing market a state has. A state with already-expensive homes and limited supply may see a bigger drop in housing starts than a state where homes are cheaper and easier to build.</w:t>
      </w:r>
    </w:p>
    <w:p w14:paraId="65F79964" w14:textId="77777777" w:rsidR="00177E7E" w:rsidRDefault="00000000">
      <w:pPr>
        <w:spacing w:after="200" w:line="480" w:lineRule="auto"/>
        <w:ind w:firstLine="720"/>
      </w:pPr>
      <w:r>
        <w:rPr>
          <w:rFonts w:eastAsia="Times New Roman"/>
        </w:rPr>
        <w:t>Most existing studies do not test for this kind of difference across states. They focus on national data and produce a single average estimate. That approach can hide a lot of variation and lead to incomplete conclusions about how housing markets actually work.</w:t>
      </w:r>
    </w:p>
    <w:p w14:paraId="66C4743B" w14:textId="77777777" w:rsidR="00177E7E" w:rsidRDefault="00000000">
      <w:pPr>
        <w:spacing w:after="200" w:line="480" w:lineRule="auto"/>
        <w:ind w:firstLine="720"/>
      </w:pPr>
      <w:r>
        <w:rPr>
          <w:rFonts w:eastAsia="Times New Roman"/>
        </w:rPr>
        <w:t xml:space="preserve">This study addresses that gap by combining national macroeconomic data with state-level </w:t>
      </w:r>
      <w:r>
        <w:rPr>
          <w:rFonts w:eastAsia="Times New Roman"/>
        </w:rPr>
        <w:lastRenderedPageBreak/>
        <w:t>house price indices and using panel regression methods that directly test for differences across states and across time periods.</w:t>
      </w:r>
    </w:p>
    <w:p w14:paraId="19ABF2A6" w14:textId="77777777" w:rsidR="00177E7E" w:rsidRDefault="00000000">
      <w:pPr>
        <w:pStyle w:val="1"/>
      </w:pPr>
      <w:r>
        <w:t>Research Questions</w:t>
      </w:r>
    </w:p>
    <w:p w14:paraId="74887D67" w14:textId="77777777" w:rsidR="00177E7E" w:rsidRDefault="00000000">
      <w:pPr>
        <w:spacing w:after="200" w:line="480" w:lineRule="auto"/>
      </w:pPr>
      <w:r>
        <w:rPr>
          <w:rFonts w:eastAsia="Times New Roman"/>
        </w:rPr>
        <w:t>This project is guided by the following questions:</w:t>
      </w:r>
    </w:p>
    <w:p w14:paraId="333FD3FA" w14:textId="77777777" w:rsidR="00177E7E" w:rsidRDefault="00177E7E"/>
    <w:p w14:paraId="32B3E587" w14:textId="77777777" w:rsidR="00177E7E" w:rsidRDefault="00000000">
      <w:pPr>
        <w:pStyle w:val="a4"/>
        <w:numPr>
          <w:ilvl w:val="0"/>
          <w:numId w:val="2"/>
        </w:numPr>
        <w:spacing w:after="120" w:line="480" w:lineRule="auto"/>
      </w:pPr>
      <w:r>
        <w:rPr>
          <w:rFonts w:eastAsia="Times New Roman"/>
        </w:rPr>
        <w:t>How do inflation and interest rate changes affect housing activity at the national level?</w:t>
      </w:r>
    </w:p>
    <w:p w14:paraId="3A793F5D" w14:textId="77777777" w:rsidR="00177E7E" w:rsidRDefault="00000000">
      <w:pPr>
        <w:pStyle w:val="a4"/>
        <w:numPr>
          <w:ilvl w:val="0"/>
          <w:numId w:val="2"/>
        </w:numPr>
        <w:spacing w:after="120" w:line="480" w:lineRule="auto"/>
      </w:pPr>
      <w:r>
        <w:rPr>
          <w:rFonts w:eastAsia="Times New Roman"/>
        </w:rPr>
        <w:t>Do those effects differ across states with different housing market structures?</w:t>
      </w:r>
    </w:p>
    <w:p w14:paraId="5880AC06" w14:textId="77777777" w:rsidR="00177E7E" w:rsidRDefault="00000000">
      <w:pPr>
        <w:pStyle w:val="a4"/>
        <w:numPr>
          <w:ilvl w:val="0"/>
          <w:numId w:val="2"/>
        </w:numPr>
        <w:spacing w:after="120" w:line="480" w:lineRule="auto"/>
      </w:pPr>
      <w:r>
        <w:rPr>
          <w:rFonts w:eastAsia="Times New Roman"/>
        </w:rPr>
        <w:t>Did the relationship between macroeconomic conditions and housing activity change after the COVID-19 pandemic?</w:t>
      </w:r>
    </w:p>
    <w:p w14:paraId="5B5448D5" w14:textId="77777777" w:rsidR="00177E7E" w:rsidRDefault="00000000">
      <w:pPr>
        <w:pStyle w:val="a4"/>
        <w:numPr>
          <w:ilvl w:val="0"/>
          <w:numId w:val="2"/>
        </w:numPr>
        <w:spacing w:after="120" w:line="480" w:lineRule="auto"/>
      </w:pPr>
      <w:r>
        <w:rPr>
          <w:rFonts w:eastAsia="Times New Roman"/>
        </w:rPr>
        <w:t>Can we predict housing activity using inflation, interest rates, and state-level house prices?</w:t>
      </w:r>
    </w:p>
    <w:p w14:paraId="4B7AE760" w14:textId="77777777" w:rsidR="00177E7E" w:rsidRDefault="00177E7E"/>
    <w:p w14:paraId="450B191A" w14:textId="77777777" w:rsidR="00177E7E" w:rsidRDefault="00000000">
      <w:pPr>
        <w:spacing w:after="200" w:line="480" w:lineRule="auto"/>
        <w:ind w:firstLine="720"/>
      </w:pPr>
      <w:r>
        <w:rPr>
          <w:rFonts w:eastAsia="Times New Roman"/>
        </w:rPr>
        <w:t>The first question sets up a baseline. The second is the main focus of the study, testing whether states respond differently to the same national shocks. The third adds a time dimension by checking whether the pandemic changed these relationships. The fourth brings in a predictive modeling component, which is relevant to data science applications.</w:t>
      </w:r>
    </w:p>
    <w:p w14:paraId="55CEE25F" w14:textId="77777777" w:rsidR="00177E7E" w:rsidRDefault="00000000">
      <w:pPr>
        <w:pStyle w:val="1"/>
      </w:pPr>
      <w:r>
        <w:t>Literature Review</w:t>
      </w:r>
    </w:p>
    <w:p w14:paraId="7CCF2DE0" w14:textId="77777777" w:rsidR="00177E7E" w:rsidRDefault="00000000">
      <w:pPr>
        <w:spacing w:after="200" w:line="480" w:lineRule="auto"/>
        <w:ind w:firstLine="720"/>
      </w:pPr>
      <w:r>
        <w:rPr>
          <w:rFonts w:eastAsia="Times New Roman"/>
        </w:rPr>
        <w:t>A fair amount of research has looked at housing markets and macroeconomic conditions, though the specific focus of this study has not been fully addressed.</w:t>
      </w:r>
    </w:p>
    <w:p w14:paraId="331FE2A3" w14:textId="77777777" w:rsidR="00177E7E" w:rsidRDefault="00000000">
      <w:pPr>
        <w:spacing w:after="200" w:line="480" w:lineRule="auto"/>
        <w:ind w:firstLine="720"/>
      </w:pPr>
      <w:r>
        <w:rPr>
          <w:rFonts w:eastAsia="Times New Roman"/>
        </w:rPr>
        <w:t xml:space="preserve">Case and Shiller (1989) showed that housing markets have strong price trends and that local economic conditions play a big role in shaping them. Their work is an early reminder that housing is not one uniform market, and that regional differences matter. This study builds on that </w:t>
      </w:r>
      <w:r>
        <w:rPr>
          <w:rFonts w:eastAsia="Times New Roman"/>
        </w:rPr>
        <w:lastRenderedPageBreak/>
        <w:t>idea by testing whether different states respond differently to the same national-level shocks.</w:t>
      </w:r>
    </w:p>
    <w:p w14:paraId="69464F38" w14:textId="77777777" w:rsidR="00177E7E" w:rsidRDefault="00000000">
      <w:pPr>
        <w:spacing w:after="200" w:line="480" w:lineRule="auto"/>
        <w:ind w:firstLine="720"/>
      </w:pPr>
      <w:r>
        <w:rPr>
          <w:rFonts w:eastAsia="Times New Roman"/>
        </w:rPr>
        <w:t>On the supply side, Glaeser and Gyourko (2018) found that zoning laws and building restrictions make housing supply inelastic in many cities. When supply is tight, demand-side shocks like interest rate increases tend to have bigger effects on prices and activity. This is directly relevant to why states might respond differently to the same macroeconomic conditions.</w:t>
      </w:r>
    </w:p>
    <w:p w14:paraId="495A0689" w14:textId="77777777" w:rsidR="00177E7E" w:rsidRDefault="00000000">
      <w:pPr>
        <w:spacing w:after="200" w:line="480" w:lineRule="auto"/>
        <w:ind w:firstLine="720"/>
      </w:pPr>
      <w:r>
        <w:rPr>
          <w:rFonts w:eastAsia="Times New Roman"/>
        </w:rPr>
        <w:t>Blanchard and Bernanke (2023) broke down the recent inflation episode into supply-driven and demand-driven parts. Both contributed, which matters here because housing is both a consumption good and an investment. Supply-driven and demand-driven inflation may affect housing markets in different ways.</w:t>
      </w:r>
    </w:p>
    <w:p w14:paraId="1DB9A4E4" w14:textId="77777777" w:rsidR="00177E7E" w:rsidRDefault="00000000">
      <w:pPr>
        <w:spacing w:after="200" w:line="480" w:lineRule="auto"/>
        <w:ind w:firstLine="720"/>
      </w:pPr>
      <w:r>
        <w:rPr>
          <w:rFonts w:eastAsia="Times New Roman"/>
        </w:rPr>
        <w:t>McCracken and Ng (2016) built the FRED-MD dataset and showed that modeling macroeconomic variables together, rather than one at a time, reveals dynamics that simpler methods miss. The FRED-QD dataset used in this study follows the same structure but is organized at the quarterly frequency, which matches the housing price data and simplifies the panel setup.</w:t>
      </w:r>
    </w:p>
    <w:p w14:paraId="75F7809D" w14:textId="77777777" w:rsidR="00177E7E" w:rsidRDefault="00000000">
      <w:pPr>
        <w:spacing w:after="200" w:line="480" w:lineRule="auto"/>
        <w:ind w:firstLine="720"/>
      </w:pPr>
      <w:r>
        <w:rPr>
          <w:rFonts w:eastAsia="Times New Roman"/>
        </w:rPr>
        <w:t>Taken together, the literature supports the idea that housing markets are local and that macroeconomic shocks may have different effects depending on local conditions. But no study has directly tested this across states using a panel framework that also accounts for the COVID-19 period as a structural break. That is the gap this study fills.</w:t>
      </w:r>
    </w:p>
    <w:p w14:paraId="330DF34F" w14:textId="77777777" w:rsidR="00177E7E" w:rsidRDefault="00000000">
      <w:pPr>
        <w:pStyle w:val="1"/>
      </w:pPr>
      <w:r>
        <w:t>Data</w:t>
      </w:r>
    </w:p>
    <w:p w14:paraId="393BE34F" w14:textId="77777777" w:rsidR="00177E7E" w:rsidRDefault="00000000">
      <w:pPr>
        <w:pStyle w:val="2"/>
      </w:pPr>
      <w:r>
        <w:t>Macroeconomic Variables (FRED-QD)</w:t>
      </w:r>
    </w:p>
    <w:p w14:paraId="498C1DB9" w14:textId="77777777" w:rsidR="00177E7E" w:rsidRDefault="00000000">
      <w:pPr>
        <w:spacing w:after="200" w:line="480" w:lineRule="auto"/>
      </w:pPr>
      <w:r>
        <w:rPr>
          <w:rFonts w:eastAsia="Times New Roman"/>
        </w:rPr>
        <w:t xml:space="preserve">The main macroeconomic dataset is FRED-QD (March 2026 vintage), a quarterly macroeconomic database maintained by the Federal Reserve Bank of St. Louis (McCracken &amp; </w:t>
      </w:r>
      <w:r>
        <w:rPr>
          <w:rFonts w:eastAsia="Times New Roman"/>
        </w:rPr>
        <w:lastRenderedPageBreak/>
        <w:t>Ng, 2016). The dataset runs from Q1 1959 through Q4 2025, giving roughly 268 quarterly observations per variable. It contains 245 variables covering output, employment, prices, interest rates, financial conditions, and more. The key variables this study uses are:</w:t>
      </w:r>
    </w:p>
    <w:p w14:paraId="1F5D1BC0" w14:textId="77777777" w:rsidR="00177E7E" w:rsidRDefault="00177E7E"/>
    <w:p w14:paraId="51FE4A8C" w14:textId="77777777" w:rsidR="00177E7E" w:rsidRDefault="00000000">
      <w:pPr>
        <w:pStyle w:val="a4"/>
        <w:numPr>
          <w:ilvl w:val="0"/>
          <w:numId w:val="2"/>
        </w:numPr>
        <w:spacing w:after="120" w:line="480" w:lineRule="auto"/>
      </w:pPr>
      <w:r>
        <w:rPr>
          <w:rFonts w:eastAsia="Times New Roman"/>
        </w:rPr>
        <w:t>CPIAUCSL: Consumer Price Index for All Urban Consumers, used as the inflation measure</w:t>
      </w:r>
    </w:p>
    <w:p w14:paraId="237EC6BC" w14:textId="77777777" w:rsidR="00177E7E" w:rsidRDefault="00000000">
      <w:pPr>
        <w:pStyle w:val="a4"/>
        <w:numPr>
          <w:ilvl w:val="0"/>
          <w:numId w:val="2"/>
        </w:numPr>
        <w:spacing w:after="120" w:line="480" w:lineRule="auto"/>
      </w:pPr>
      <w:r>
        <w:rPr>
          <w:rFonts w:eastAsia="Times New Roman"/>
        </w:rPr>
        <w:t>FEDFUNDS: Effective Federal Funds Rate, used as the short-term interest rate proxy</w:t>
      </w:r>
    </w:p>
    <w:p w14:paraId="519AE706" w14:textId="77777777" w:rsidR="00177E7E" w:rsidRDefault="00000000">
      <w:pPr>
        <w:pStyle w:val="a4"/>
        <w:numPr>
          <w:ilvl w:val="0"/>
          <w:numId w:val="2"/>
        </w:numPr>
        <w:spacing w:after="120" w:line="480" w:lineRule="auto"/>
      </w:pPr>
      <w:r>
        <w:rPr>
          <w:rFonts w:eastAsia="Times New Roman"/>
        </w:rPr>
        <w:t>GS10: 10-Year Treasury yield, used as a long-term interest rate proxy</w:t>
      </w:r>
    </w:p>
    <w:p w14:paraId="3E9DAB05" w14:textId="77777777" w:rsidR="00177E7E" w:rsidRDefault="00000000">
      <w:pPr>
        <w:pStyle w:val="a4"/>
        <w:numPr>
          <w:ilvl w:val="0"/>
          <w:numId w:val="2"/>
        </w:numPr>
        <w:spacing w:after="120" w:line="480" w:lineRule="auto"/>
      </w:pPr>
      <w:r>
        <w:rPr>
          <w:rFonts w:eastAsia="Times New Roman"/>
        </w:rPr>
        <w:t>HOUST: Housing Starts, used as the measure of housing activity</w:t>
      </w:r>
    </w:p>
    <w:p w14:paraId="41B6B07D" w14:textId="77777777" w:rsidR="00177E7E" w:rsidRDefault="00000000">
      <w:pPr>
        <w:pStyle w:val="a4"/>
        <w:numPr>
          <w:ilvl w:val="0"/>
          <w:numId w:val="2"/>
        </w:numPr>
        <w:spacing w:after="120" w:line="480" w:lineRule="auto"/>
      </w:pPr>
      <w:r>
        <w:rPr>
          <w:rFonts w:eastAsia="Times New Roman"/>
        </w:rPr>
        <w:t>PERMIT: New Private Housing Units Authorized by Building Permits, a secondary housing activity measure</w:t>
      </w:r>
    </w:p>
    <w:p w14:paraId="189D84CD" w14:textId="77777777" w:rsidR="00177E7E" w:rsidRDefault="00000000">
      <w:pPr>
        <w:pStyle w:val="a4"/>
        <w:numPr>
          <w:ilvl w:val="0"/>
          <w:numId w:val="2"/>
        </w:numPr>
        <w:spacing w:after="120" w:line="480" w:lineRule="auto"/>
      </w:pPr>
      <w:r>
        <w:rPr>
          <w:rFonts w:eastAsia="Times New Roman"/>
        </w:rPr>
        <w:t>PAYEMS: Total Nonfarm Payroll Employment, used as a labor market control variable</w:t>
      </w:r>
    </w:p>
    <w:p w14:paraId="6DFC7AB2" w14:textId="77777777" w:rsidR="00177E7E" w:rsidRDefault="00177E7E"/>
    <w:p w14:paraId="09FBF0C9" w14:textId="77777777" w:rsidR="00177E7E" w:rsidRDefault="00000000">
      <w:pPr>
        <w:spacing w:after="200" w:line="480" w:lineRule="auto"/>
      </w:pPr>
      <w:r>
        <w:rPr>
          <w:rFonts w:eastAsia="Times New Roman"/>
        </w:rPr>
        <w:t>Each variable in FRED-QD comes with a transformation code that specifies whether it should be used in levels, first differences, or log differences to achieve stationarity. Those codes will be followed as recommended.</w:t>
      </w:r>
    </w:p>
    <w:p w14:paraId="2150F4B6" w14:textId="77777777" w:rsidR="00177E7E" w:rsidRDefault="00000000">
      <w:pPr>
        <w:pStyle w:val="2"/>
      </w:pPr>
      <w:r>
        <w:t>State-Level House Price Data</w:t>
      </w:r>
    </w:p>
    <w:p w14:paraId="39C8AB9B" w14:textId="77777777" w:rsidR="00177E7E" w:rsidRDefault="00000000">
      <w:pPr>
        <w:spacing w:after="200" w:line="480" w:lineRule="auto"/>
      </w:pPr>
      <w:r>
        <w:rPr>
          <w:rFonts w:eastAsia="Times New Roman"/>
        </w:rPr>
        <w:t>State-level house price data come from the FHFA State House Price Index (Federal Housing Finance Agency, 2024). Seven states are included to capture a range of housing market conditions:</w:t>
      </w:r>
    </w:p>
    <w:p w14:paraId="626C29B4" w14:textId="77777777" w:rsidR="00177E7E" w:rsidRDefault="00177E7E"/>
    <w:p w14:paraId="6A88DAC5" w14:textId="77777777" w:rsidR="00177E7E" w:rsidRDefault="00000000">
      <w:pPr>
        <w:pStyle w:val="a4"/>
        <w:numPr>
          <w:ilvl w:val="0"/>
          <w:numId w:val="2"/>
        </w:numPr>
        <w:spacing w:after="120" w:line="480" w:lineRule="auto"/>
      </w:pPr>
      <w:r>
        <w:rPr>
          <w:rFonts w:eastAsia="Times New Roman"/>
        </w:rPr>
        <w:t>CASTHPI: California, a high-cost, supply-constrained market</w:t>
      </w:r>
    </w:p>
    <w:p w14:paraId="1F3DA57D" w14:textId="77777777" w:rsidR="00177E7E" w:rsidRDefault="00000000">
      <w:pPr>
        <w:pStyle w:val="a4"/>
        <w:numPr>
          <w:ilvl w:val="0"/>
          <w:numId w:val="2"/>
        </w:numPr>
        <w:spacing w:after="120" w:line="480" w:lineRule="auto"/>
      </w:pPr>
      <w:r>
        <w:rPr>
          <w:rFonts w:eastAsia="Times New Roman"/>
        </w:rPr>
        <w:t>NYSTHPI: New York, also high-cost and supply-constrained</w:t>
      </w:r>
    </w:p>
    <w:p w14:paraId="1B0271CC" w14:textId="77777777" w:rsidR="00177E7E" w:rsidRDefault="00000000">
      <w:pPr>
        <w:pStyle w:val="a4"/>
        <w:numPr>
          <w:ilvl w:val="0"/>
          <w:numId w:val="2"/>
        </w:numPr>
        <w:spacing w:after="120" w:line="480" w:lineRule="auto"/>
      </w:pPr>
      <w:r>
        <w:rPr>
          <w:rFonts w:eastAsia="Times New Roman"/>
        </w:rPr>
        <w:lastRenderedPageBreak/>
        <w:t>TXSTHPI: Texas, a lower-cost market with more elastic supply</w:t>
      </w:r>
    </w:p>
    <w:p w14:paraId="47D45A3A" w14:textId="77777777" w:rsidR="00177E7E" w:rsidRDefault="00000000">
      <w:pPr>
        <w:pStyle w:val="a4"/>
        <w:numPr>
          <w:ilvl w:val="0"/>
          <w:numId w:val="2"/>
        </w:numPr>
        <w:spacing w:after="120" w:line="480" w:lineRule="auto"/>
      </w:pPr>
      <w:r>
        <w:rPr>
          <w:rFonts w:eastAsia="Times New Roman"/>
        </w:rPr>
        <w:t>FLSTHPI: Florida, a high-growth state with strong migration inflows</w:t>
      </w:r>
    </w:p>
    <w:p w14:paraId="389648F9" w14:textId="77777777" w:rsidR="00177E7E" w:rsidRDefault="00000000">
      <w:pPr>
        <w:pStyle w:val="a4"/>
        <w:numPr>
          <w:ilvl w:val="0"/>
          <w:numId w:val="2"/>
        </w:numPr>
        <w:spacing w:after="120" w:line="480" w:lineRule="auto"/>
      </w:pPr>
      <w:r>
        <w:rPr>
          <w:rFonts w:eastAsia="Times New Roman"/>
        </w:rPr>
        <w:t>OHSTHPI: Ohio, a moderate-cost Midwest market</w:t>
      </w:r>
    </w:p>
    <w:p w14:paraId="787A537E" w14:textId="77777777" w:rsidR="00177E7E" w:rsidRDefault="00000000">
      <w:pPr>
        <w:pStyle w:val="a4"/>
        <w:numPr>
          <w:ilvl w:val="0"/>
          <w:numId w:val="2"/>
        </w:numPr>
        <w:spacing w:after="120" w:line="480" w:lineRule="auto"/>
      </w:pPr>
      <w:r>
        <w:rPr>
          <w:rFonts w:eastAsia="Times New Roman"/>
        </w:rPr>
        <w:t>ILSTHPI: Illinois, a Midwest market with a large urban center</w:t>
      </w:r>
    </w:p>
    <w:p w14:paraId="07E1FD37" w14:textId="77777777" w:rsidR="00177E7E" w:rsidRDefault="00000000">
      <w:pPr>
        <w:pStyle w:val="a4"/>
        <w:numPr>
          <w:ilvl w:val="0"/>
          <w:numId w:val="2"/>
        </w:numPr>
        <w:spacing w:after="120" w:line="480" w:lineRule="auto"/>
      </w:pPr>
      <w:r>
        <w:rPr>
          <w:rFonts w:eastAsia="Times New Roman"/>
        </w:rPr>
        <w:t>AZSTHPI: Arizona, a Sun Belt market that saw rapid price growth after 2020</w:t>
      </w:r>
    </w:p>
    <w:p w14:paraId="03BBE4F3" w14:textId="77777777" w:rsidR="00177E7E" w:rsidRDefault="00177E7E"/>
    <w:p w14:paraId="5A4AFA12" w14:textId="77777777" w:rsidR="00177E7E" w:rsidRDefault="00000000">
      <w:pPr>
        <w:spacing w:after="200" w:line="480" w:lineRule="auto"/>
      </w:pPr>
      <w:r>
        <w:rPr>
          <w:rFonts w:eastAsia="Times New Roman"/>
        </w:rPr>
        <w:t>These states were chosen because they represent very different kinds of housing markets. That variation is what makes it possible to test whether states respond differently to macroeconomic shocks.</w:t>
      </w:r>
    </w:p>
    <w:p w14:paraId="09685C6F" w14:textId="77777777" w:rsidR="00177E7E" w:rsidRDefault="00000000">
      <w:pPr>
        <w:pStyle w:val="1"/>
      </w:pPr>
      <w:r>
        <w:t>Data Processing</w:t>
      </w:r>
    </w:p>
    <w:p w14:paraId="03AEC447" w14:textId="77777777" w:rsidR="00177E7E" w:rsidRDefault="00000000">
      <w:pPr>
        <w:spacing w:after="200" w:line="480" w:lineRule="auto"/>
        <w:ind w:firstLine="720"/>
      </w:pPr>
      <w:r>
        <w:rPr>
          <w:rFonts w:eastAsia="Times New Roman"/>
        </w:rPr>
        <w:t>Because FRED-QD is already at the quarterly frequency, no frequency conversion is needed for the macroeconomic variables. The FHFA state-level house price indices are also available quarterly and will be merged with the FRED-QD variables on the quarter date to create a panel dataset organized by state and quarter.</w:t>
      </w:r>
    </w:p>
    <w:p w14:paraId="23549AA5" w14:textId="4B23F369" w:rsidR="00D15F5D" w:rsidRPr="00D15F5D" w:rsidRDefault="00000000" w:rsidP="00D15F5D">
      <w:pPr>
        <w:spacing w:after="200" w:line="480" w:lineRule="auto"/>
        <w:ind w:firstLine="720"/>
        <w:rPr>
          <w:rFonts w:eastAsia="Times New Roman"/>
        </w:rPr>
      </w:pPr>
      <w:r>
        <w:rPr>
          <w:rFonts w:eastAsia="Times New Roman"/>
        </w:rPr>
        <w:t>Transformations will follow the FRED-QD appendix codes. Housing price indices and housing activity variables will be converted to log differences to get approximate growth rates. Interest rate variables will be first-differenced. Before running any models, each variable will be tested for stationarity using the Augmented Dickey-Fuller (ADF) test. Any variable that is still non-stationary after applying the recommended transformation will be differenced one more time.</w:t>
      </w:r>
    </w:p>
    <w:p w14:paraId="0F25B63A" w14:textId="77777777" w:rsidR="00177E7E" w:rsidRDefault="00000000">
      <w:pPr>
        <w:pStyle w:val="1"/>
      </w:pPr>
      <w:r>
        <w:t>Methodology</w:t>
      </w:r>
    </w:p>
    <w:p w14:paraId="34CC834C" w14:textId="77777777" w:rsidR="00177E7E" w:rsidRDefault="00000000">
      <w:pPr>
        <w:spacing w:after="200" w:line="480" w:lineRule="auto"/>
        <w:ind w:firstLine="720"/>
      </w:pPr>
      <w:r>
        <w:rPr>
          <w:rFonts w:eastAsia="Times New Roman"/>
        </w:rPr>
        <w:t xml:space="preserve">The analysis uses three regression models, each one adding more complexity, followed </w:t>
      </w:r>
      <w:r>
        <w:rPr>
          <w:rFonts w:eastAsia="Times New Roman"/>
        </w:rPr>
        <w:lastRenderedPageBreak/>
        <w:t>by predictive modeling. A key concern throughout is handling serial correlation and collinearity, which are common in macroeconomic time series data.</w:t>
      </w:r>
    </w:p>
    <w:p w14:paraId="24D5C53D" w14:textId="77777777" w:rsidR="00177E7E" w:rsidRDefault="00000000">
      <w:pPr>
        <w:pStyle w:val="2"/>
      </w:pPr>
      <w:r>
        <w:t>Model 1: Baseline</w:t>
      </w:r>
    </w:p>
    <w:p w14:paraId="37FC8BB4" w14:textId="77777777" w:rsidR="00177E7E" w:rsidRDefault="00000000">
      <w:pPr>
        <w:spacing w:after="200" w:line="480" w:lineRule="auto"/>
      </w:pPr>
      <w:r>
        <w:rPr>
          <w:rFonts w:eastAsia="Times New Roman"/>
        </w:rPr>
        <w:t>The first model looks at the average national relationship between inflation, interest rates, and housing activity. A lagged dependent variable is included to account for the fact that housing starts from one quarter are likely correlated with the next.</w:t>
      </w:r>
    </w:p>
    <w:p w14:paraId="6E884A5C" w14:textId="77777777" w:rsidR="00177E7E" w:rsidRDefault="00177E7E"/>
    <w:p w14:paraId="7D99A0AE" w14:textId="77777777" w:rsidR="00177E7E" w:rsidRDefault="00000000">
      <w:pPr>
        <w:spacing w:before="80" w:after="80"/>
        <w:ind w:left="720"/>
      </w:pPr>
      <w:r>
        <w:rPr>
          <w:rFonts w:ascii="Courier New" w:eastAsia="Courier New" w:hAnsi="Courier New" w:cs="Courier New"/>
          <w:sz w:val="22"/>
          <w:szCs w:val="22"/>
        </w:rPr>
        <w:t>HousingActivity(t) = b0 + b1*Inflation(t) + b2*Rate(t) + b3*HousingActivity(t-1) + e(t)</w:t>
      </w:r>
    </w:p>
    <w:p w14:paraId="09B63DC2" w14:textId="77777777" w:rsidR="00177E7E" w:rsidRDefault="00177E7E"/>
    <w:p w14:paraId="2F6BE969" w14:textId="77777777" w:rsidR="00177E7E" w:rsidRDefault="00000000">
      <w:pPr>
        <w:spacing w:after="200" w:line="480" w:lineRule="auto"/>
      </w:pPr>
      <w:r>
        <w:rPr>
          <w:rFonts w:eastAsia="Times New Roman"/>
        </w:rPr>
        <w:t>Variance Inflation Factors (VIFs) will be checked to detect collinearity, and the Breusch-Godfrey test will be used to check for leftover serial correlation in the residuals.</w:t>
      </w:r>
    </w:p>
    <w:p w14:paraId="59E621E2" w14:textId="77777777" w:rsidR="00177E7E" w:rsidRDefault="00000000">
      <w:pPr>
        <w:pStyle w:val="2"/>
      </w:pPr>
      <w:r>
        <w:t>Model 2: State Heterogeneity</w:t>
      </w:r>
    </w:p>
    <w:p w14:paraId="6CAEB28A" w14:textId="77777777" w:rsidR="00177E7E" w:rsidRDefault="00000000">
      <w:pPr>
        <w:spacing w:after="200" w:line="480" w:lineRule="auto"/>
      </w:pPr>
      <w:r>
        <w:rPr>
          <w:rFonts w:eastAsia="Times New Roman"/>
        </w:rPr>
        <w:t>The second model adds state fixed effects and interaction terms to test whether the effect of inflation and interest rates differs by state.</w:t>
      </w:r>
    </w:p>
    <w:p w14:paraId="0504575D" w14:textId="77777777" w:rsidR="00177E7E" w:rsidRDefault="00177E7E"/>
    <w:p w14:paraId="7811C58F" w14:textId="4983D1BE" w:rsidR="00177E7E" w:rsidRDefault="00000000" w:rsidP="00D15F5D">
      <w:pPr>
        <w:spacing w:before="80" w:after="80"/>
        <w:ind w:left="720"/>
      </w:pPr>
      <w:r>
        <w:rPr>
          <w:rFonts w:ascii="Courier New" w:eastAsia="Courier New" w:hAnsi="Courier New" w:cs="Courier New"/>
          <w:sz w:val="22"/>
          <w:szCs w:val="22"/>
        </w:rPr>
        <w:t>HousingActivity(s,t) = a(s) + b1*Inflation(t) + b2*Rate(t) + b3*HPI(s,t) + g1*(Inflation x State) + g2*(Rate x State) + e(s,t)</w:t>
      </w:r>
    </w:p>
    <w:p w14:paraId="5CD4E66C" w14:textId="77777777" w:rsidR="00177E7E" w:rsidRPr="00D15F5D" w:rsidRDefault="00177E7E"/>
    <w:p w14:paraId="610BFE09" w14:textId="6AEE1837" w:rsidR="00D15F5D" w:rsidRPr="00D15F5D" w:rsidRDefault="00000000">
      <w:pPr>
        <w:spacing w:after="200" w:line="480" w:lineRule="auto"/>
        <w:rPr>
          <w:rFonts w:eastAsia="Times New Roman"/>
        </w:rPr>
      </w:pPr>
      <w:r>
        <w:rPr>
          <w:rFonts w:eastAsia="Times New Roman"/>
        </w:rPr>
        <w:t>The state fixed effects absorb differences between states that do not change over time, like geography or long-run zoning policies. The interaction terms directly test whether inflation and interest rate effects differ by state. Standard errors will be clustered at the state level.</w:t>
      </w:r>
    </w:p>
    <w:p w14:paraId="73C80D72" w14:textId="0D65BC26" w:rsidR="00177E7E" w:rsidRDefault="00000000">
      <w:pPr>
        <w:pStyle w:val="2"/>
      </w:pPr>
      <w:r>
        <w:t>Model 3: COVID Regime</w:t>
      </w:r>
    </w:p>
    <w:p w14:paraId="5CB8B657" w14:textId="77777777" w:rsidR="00177E7E" w:rsidRDefault="00000000">
      <w:pPr>
        <w:spacing w:after="200" w:line="480" w:lineRule="auto"/>
      </w:pPr>
      <w:r>
        <w:rPr>
          <w:rFonts w:eastAsia="Times New Roman"/>
        </w:rPr>
        <w:t>The third model tests whether the pandemic changed the relationship between macroeconomic conditions and housing activity. A binary COVID variable is added, along with its interactions with inflation and interest rates.</w:t>
      </w:r>
    </w:p>
    <w:p w14:paraId="3537FF0C" w14:textId="77777777" w:rsidR="00177E7E" w:rsidRDefault="00177E7E"/>
    <w:p w14:paraId="7D1F9CE1" w14:textId="715AF55D" w:rsidR="00177E7E" w:rsidRDefault="00000000" w:rsidP="00D15F5D">
      <w:pPr>
        <w:spacing w:before="80" w:after="80"/>
        <w:ind w:left="720"/>
      </w:pPr>
      <w:r>
        <w:rPr>
          <w:rFonts w:ascii="Courier New" w:eastAsia="Courier New" w:hAnsi="Courier New" w:cs="Courier New"/>
          <w:sz w:val="22"/>
          <w:szCs w:val="22"/>
        </w:rPr>
        <w:t>HousingActivity(s,t) = a(s) + b1*Inflation(t) + b2*Rate(t) + b3*HPI(s,t)</w:t>
      </w:r>
      <w:r w:rsidR="00D15F5D">
        <w:t xml:space="preserve"> </w:t>
      </w:r>
      <w:r>
        <w:rPr>
          <w:rFonts w:ascii="Courier New" w:eastAsia="Courier New" w:hAnsi="Courier New" w:cs="Courier New"/>
          <w:sz w:val="22"/>
          <w:szCs w:val="22"/>
        </w:rPr>
        <w:t>+ d*COVID(t) + g1*(Inflation x COVID) + g2*(Rate x COVID) + e(s,t)</w:t>
      </w:r>
    </w:p>
    <w:p w14:paraId="40D24C57" w14:textId="77777777" w:rsidR="00177E7E" w:rsidRDefault="00177E7E"/>
    <w:p w14:paraId="5EC76EF5" w14:textId="77777777" w:rsidR="00177E7E" w:rsidRDefault="00000000">
      <w:pPr>
        <w:spacing w:after="200" w:line="480" w:lineRule="auto"/>
      </w:pPr>
      <w:r>
        <w:rPr>
          <w:rFonts w:eastAsia="Times New Roman"/>
        </w:rPr>
        <w:t>COVID(t) equals 1 from 2020 Q1 onward. A Chow test will be used to formally test whether a structural break exists at that point.</w:t>
      </w:r>
    </w:p>
    <w:p w14:paraId="23F8A68A" w14:textId="77777777" w:rsidR="00177E7E" w:rsidRDefault="00000000">
      <w:pPr>
        <w:pStyle w:val="2"/>
      </w:pPr>
      <w:r>
        <w:t>Model 4: Predictive Models</w:t>
      </w:r>
    </w:p>
    <w:p w14:paraId="1519C770" w14:textId="77777777" w:rsidR="00177E7E" w:rsidRDefault="00000000">
      <w:pPr>
        <w:spacing w:after="200" w:line="480" w:lineRule="auto"/>
      </w:pPr>
      <w:r>
        <w:rPr>
          <w:rFonts w:eastAsia="Times New Roman"/>
        </w:rPr>
        <w:t>To add a predictive component, two methods will be compared against OLS:</w:t>
      </w:r>
    </w:p>
    <w:p w14:paraId="1904DC39" w14:textId="77777777" w:rsidR="00177E7E" w:rsidRDefault="00177E7E"/>
    <w:p w14:paraId="6A812396" w14:textId="77777777" w:rsidR="00177E7E" w:rsidRDefault="00000000">
      <w:pPr>
        <w:pStyle w:val="a4"/>
        <w:numPr>
          <w:ilvl w:val="0"/>
          <w:numId w:val="2"/>
        </w:numPr>
        <w:spacing w:after="120" w:line="480" w:lineRule="auto"/>
      </w:pPr>
      <w:r>
        <w:rPr>
          <w:rFonts w:eastAsia="Times New Roman"/>
        </w:rPr>
        <w:t>Vector Autoregression (VAR): Unlike OLS, a VAR model treats housing activity, inflation, and interest rates as jointly determined, meaning each variable can be affected by the others over time. Impulse response functions (IRFs) will show how a shock to inflation or interest rates ripples through housing activity over 8 to 12 quarters.</w:t>
      </w:r>
    </w:p>
    <w:p w14:paraId="773F2A20" w14:textId="77777777" w:rsidR="00177E7E" w:rsidRDefault="00000000">
      <w:pPr>
        <w:pStyle w:val="a4"/>
        <w:numPr>
          <w:ilvl w:val="0"/>
          <w:numId w:val="2"/>
        </w:numPr>
        <w:spacing w:after="120" w:line="480" w:lineRule="auto"/>
      </w:pPr>
      <w:r>
        <w:rPr>
          <w:rFonts w:eastAsia="Times New Roman"/>
        </w:rPr>
        <w:t>Ridge and LASSO Regression: Penalized regression will be run using a broader set of FRED-QD variables to see whether including more predictors improves out-of-sample forecasting accuracy compared to the smaller OLS models.</w:t>
      </w:r>
    </w:p>
    <w:p w14:paraId="4D3FF866" w14:textId="77777777" w:rsidR="00177E7E" w:rsidRDefault="00177E7E"/>
    <w:p w14:paraId="1AECAB23" w14:textId="0F77330C" w:rsidR="00D15F5D" w:rsidRPr="00D15F5D" w:rsidRDefault="00000000" w:rsidP="00D15F5D">
      <w:pPr>
        <w:spacing w:after="200" w:line="480" w:lineRule="auto"/>
        <w:rPr>
          <w:rFonts w:eastAsia="Times New Roman"/>
        </w:rPr>
      </w:pPr>
      <w:r>
        <w:rPr>
          <w:rFonts w:eastAsia="Times New Roman"/>
        </w:rPr>
        <w:t>All models will be compared using Root Mean Squared Error (RMSE) on a held-out test period of 2020 through 2025.</w:t>
      </w:r>
    </w:p>
    <w:p w14:paraId="09D97F79" w14:textId="7DAD94AA" w:rsidR="00177E7E" w:rsidRDefault="00000000">
      <w:pPr>
        <w:pStyle w:val="1"/>
      </w:pPr>
      <w:r>
        <w:t>Expected Results</w:t>
      </w:r>
    </w:p>
    <w:p w14:paraId="77FBF0A3" w14:textId="77777777" w:rsidR="00177E7E" w:rsidRDefault="00000000">
      <w:pPr>
        <w:spacing w:after="200" w:line="480" w:lineRule="auto"/>
      </w:pPr>
      <w:r>
        <w:rPr>
          <w:rFonts w:eastAsia="Times New Roman"/>
        </w:rPr>
        <w:t>Based on existing research and economic theory, the following results are expected:</w:t>
      </w:r>
    </w:p>
    <w:p w14:paraId="174B9973" w14:textId="77777777" w:rsidR="00177E7E" w:rsidRDefault="00177E7E"/>
    <w:p w14:paraId="4A4A8A8C" w14:textId="77777777" w:rsidR="00177E7E" w:rsidRDefault="00000000">
      <w:pPr>
        <w:pStyle w:val="a4"/>
        <w:numPr>
          <w:ilvl w:val="0"/>
          <w:numId w:val="2"/>
        </w:numPr>
        <w:spacing w:after="120" w:line="480" w:lineRule="auto"/>
      </w:pPr>
      <w:r>
        <w:rPr>
          <w:rFonts w:eastAsia="Times New Roman"/>
        </w:rPr>
        <w:t>Higher inflation and interest rates will reduce housing activity across all states.</w:t>
      </w:r>
    </w:p>
    <w:p w14:paraId="28B1F86C" w14:textId="77777777" w:rsidR="00177E7E" w:rsidRDefault="00000000">
      <w:pPr>
        <w:pStyle w:val="a4"/>
        <w:numPr>
          <w:ilvl w:val="0"/>
          <w:numId w:val="2"/>
        </w:numPr>
        <w:spacing w:after="120" w:line="480" w:lineRule="auto"/>
      </w:pPr>
      <w:r>
        <w:rPr>
          <w:rFonts w:eastAsia="Times New Roman"/>
        </w:rPr>
        <w:t>High-cost, supply-constrained states like California and New York will react more strongly to interest rate increases than supply-elastic states like Texas.</w:t>
      </w:r>
    </w:p>
    <w:p w14:paraId="4E941FB9" w14:textId="77777777" w:rsidR="00177E7E" w:rsidRDefault="00000000">
      <w:pPr>
        <w:pStyle w:val="a4"/>
        <w:numPr>
          <w:ilvl w:val="0"/>
          <w:numId w:val="2"/>
        </w:numPr>
        <w:spacing w:after="120" w:line="480" w:lineRule="auto"/>
      </w:pPr>
      <w:r>
        <w:rPr>
          <w:rFonts w:eastAsia="Times New Roman"/>
        </w:rPr>
        <w:lastRenderedPageBreak/>
        <w:t>The COVID regime analysis will show a structural break, with the post-2020 period showing stronger reactions to macroeconomic shocks.</w:t>
      </w:r>
    </w:p>
    <w:p w14:paraId="2391E9E7" w14:textId="77777777" w:rsidR="00177E7E" w:rsidRDefault="00000000">
      <w:pPr>
        <w:pStyle w:val="a4"/>
        <w:numPr>
          <w:ilvl w:val="0"/>
          <w:numId w:val="2"/>
        </w:numPr>
        <w:spacing w:after="120" w:line="480" w:lineRule="auto"/>
      </w:pPr>
      <w:r>
        <w:rPr>
          <w:rFonts w:eastAsia="Times New Roman"/>
        </w:rPr>
        <w:t>VAR impulse response functions will show that the effect of an inflation shock on housing activity peaks about 2 to 4 quarters later.</w:t>
      </w:r>
    </w:p>
    <w:p w14:paraId="04341553" w14:textId="525B3117" w:rsidR="00177E7E" w:rsidRDefault="00000000" w:rsidP="00D15F5D">
      <w:pPr>
        <w:pStyle w:val="a4"/>
        <w:numPr>
          <w:ilvl w:val="0"/>
          <w:numId w:val="2"/>
        </w:numPr>
        <w:spacing w:after="120" w:line="480" w:lineRule="auto"/>
      </w:pPr>
      <w:r>
        <w:rPr>
          <w:rFonts w:eastAsia="Times New Roman"/>
        </w:rPr>
        <w:t>Ridge and LASSO will produce lower RMSE than OLS, suggesting that additional macroeconomic controls add predictive value.</w:t>
      </w:r>
    </w:p>
    <w:p w14:paraId="5D22CF91" w14:textId="77777777" w:rsidR="00177E7E" w:rsidRDefault="00000000">
      <w:pPr>
        <w:pStyle w:val="1"/>
      </w:pPr>
      <w:r>
        <w:t>Limitations</w:t>
      </w:r>
    </w:p>
    <w:p w14:paraId="58F55802" w14:textId="4139D052" w:rsidR="00D15F5D" w:rsidRPr="00D15F5D" w:rsidRDefault="00000000" w:rsidP="00D15F5D">
      <w:pPr>
        <w:spacing w:after="200" w:line="480" w:lineRule="auto"/>
        <w:ind w:firstLine="720"/>
        <w:rPr>
          <w:rFonts w:eastAsia="Times New Roman"/>
        </w:rPr>
      </w:pPr>
      <w:r>
        <w:rPr>
          <w:rFonts w:eastAsia="Times New Roman"/>
        </w:rPr>
        <w:t>There are a few limitations to keep in mind. First, inflation is measured nationally using CPIAUCSL, which does not capture differences in price growth across states. Second, HOUST is a national housing starts measure, not a state-level one, so it is an imperfect stand-in for state-specific housing activity. Third, the FHFA index tracks repeat-sale prices, so it may not capture conditions for first-time buyers or new construction very well. These limitations do not prevent this study from being done, but they do mean the results should be interpreted carefully.</w:t>
      </w:r>
    </w:p>
    <w:p w14:paraId="5E933052" w14:textId="71CDD9F8" w:rsidR="00177E7E" w:rsidRDefault="00000000">
      <w:pPr>
        <w:pStyle w:val="1"/>
      </w:pPr>
      <w:r>
        <w:t>Project Plan</w:t>
      </w:r>
    </w:p>
    <w:p w14:paraId="4FB19859" w14:textId="77777777" w:rsidR="00177E7E" w:rsidRDefault="00000000">
      <w:pPr>
        <w:pStyle w:val="a4"/>
        <w:numPr>
          <w:ilvl w:val="0"/>
          <w:numId w:val="3"/>
        </w:numPr>
        <w:spacing w:after="120" w:line="480" w:lineRule="auto"/>
      </w:pPr>
      <w:r>
        <w:rPr>
          <w:rFonts w:eastAsia="Times New Roman"/>
        </w:rPr>
        <w:t>Data cleaning, transformation, and panel construction (Weeks 1-2)</w:t>
      </w:r>
    </w:p>
    <w:p w14:paraId="6B2E7103" w14:textId="77777777" w:rsidR="00177E7E" w:rsidRDefault="00000000">
      <w:pPr>
        <w:pStyle w:val="a4"/>
        <w:numPr>
          <w:ilvl w:val="0"/>
          <w:numId w:val="3"/>
        </w:numPr>
        <w:spacing w:after="120" w:line="480" w:lineRule="auto"/>
      </w:pPr>
      <w:r>
        <w:rPr>
          <w:rFonts w:eastAsia="Times New Roman"/>
        </w:rPr>
        <w:t>Exploratory data analysis and stationarity testing (Week 3)</w:t>
      </w:r>
    </w:p>
    <w:p w14:paraId="6FB26265" w14:textId="77777777" w:rsidR="00177E7E" w:rsidRDefault="00000000">
      <w:pPr>
        <w:pStyle w:val="a4"/>
        <w:numPr>
          <w:ilvl w:val="0"/>
          <w:numId w:val="3"/>
        </w:numPr>
        <w:spacing w:after="120" w:line="480" w:lineRule="auto"/>
      </w:pPr>
      <w:r>
        <w:rPr>
          <w:rFonts w:eastAsia="Times New Roman"/>
        </w:rPr>
        <w:t>Model 1 and Model 2 estimation (Weeks 4-5)</w:t>
      </w:r>
    </w:p>
    <w:p w14:paraId="2975A285" w14:textId="77777777" w:rsidR="00177E7E" w:rsidRDefault="00000000">
      <w:pPr>
        <w:pStyle w:val="a4"/>
        <w:numPr>
          <w:ilvl w:val="0"/>
          <w:numId w:val="3"/>
        </w:numPr>
        <w:spacing w:after="120" w:line="480" w:lineRule="auto"/>
      </w:pPr>
      <w:r>
        <w:rPr>
          <w:rFonts w:eastAsia="Times New Roman"/>
        </w:rPr>
        <w:t>Model 3 COVID regime analysis and Chow test (Week 6)</w:t>
      </w:r>
    </w:p>
    <w:p w14:paraId="20E89C77" w14:textId="77777777" w:rsidR="00177E7E" w:rsidRDefault="00000000">
      <w:pPr>
        <w:pStyle w:val="a4"/>
        <w:numPr>
          <w:ilvl w:val="0"/>
          <w:numId w:val="3"/>
        </w:numPr>
        <w:spacing w:after="120" w:line="480" w:lineRule="auto"/>
      </w:pPr>
      <w:r>
        <w:rPr>
          <w:rFonts w:eastAsia="Times New Roman"/>
        </w:rPr>
        <w:t>VAR and penalized regression estimation and comparison (Weeks 7-8)</w:t>
      </w:r>
    </w:p>
    <w:p w14:paraId="16C73409" w14:textId="77777777" w:rsidR="00177E7E" w:rsidRDefault="00000000">
      <w:pPr>
        <w:pStyle w:val="a4"/>
        <w:numPr>
          <w:ilvl w:val="0"/>
          <w:numId w:val="3"/>
        </w:numPr>
        <w:spacing w:after="120" w:line="480" w:lineRule="auto"/>
      </w:pPr>
      <w:r>
        <w:rPr>
          <w:rFonts w:eastAsia="Times New Roman"/>
        </w:rPr>
        <w:t>Interpretation and writing (Weeks 9-11)</w:t>
      </w:r>
    </w:p>
    <w:p w14:paraId="45B7D6F9" w14:textId="5D595667" w:rsidR="00177E7E" w:rsidRDefault="00000000" w:rsidP="00D15F5D">
      <w:pPr>
        <w:pStyle w:val="a4"/>
        <w:numPr>
          <w:ilvl w:val="0"/>
          <w:numId w:val="3"/>
        </w:numPr>
        <w:spacing w:after="120" w:line="480" w:lineRule="auto"/>
      </w:pPr>
      <w:r>
        <w:rPr>
          <w:rFonts w:eastAsia="Times New Roman"/>
        </w:rPr>
        <w:t>Revision and final submission (Week 12)</w:t>
      </w:r>
    </w:p>
    <w:p w14:paraId="38BED950" w14:textId="77777777" w:rsidR="00177E7E" w:rsidRDefault="00000000">
      <w:pPr>
        <w:pStyle w:val="1"/>
      </w:pPr>
      <w:r>
        <w:lastRenderedPageBreak/>
        <w:t>Deliverables</w:t>
      </w:r>
    </w:p>
    <w:p w14:paraId="0CA39726" w14:textId="77777777" w:rsidR="00177E7E" w:rsidRDefault="00000000">
      <w:pPr>
        <w:pStyle w:val="a4"/>
        <w:numPr>
          <w:ilvl w:val="0"/>
          <w:numId w:val="2"/>
        </w:numPr>
        <w:spacing w:after="120" w:line="480" w:lineRule="auto"/>
      </w:pPr>
      <w:r>
        <w:rPr>
          <w:rFonts w:eastAsia="Times New Roman"/>
        </w:rPr>
        <w:t>A research paper of approximately 25 to 35 pages in academic format</w:t>
      </w:r>
    </w:p>
    <w:p w14:paraId="7AEA5269" w14:textId="77777777" w:rsidR="00177E7E" w:rsidRDefault="00000000">
      <w:pPr>
        <w:pStyle w:val="a4"/>
        <w:numPr>
          <w:ilvl w:val="0"/>
          <w:numId w:val="2"/>
        </w:numPr>
        <w:spacing w:after="120" w:line="480" w:lineRule="auto"/>
      </w:pPr>
      <w:r>
        <w:rPr>
          <w:rFonts w:eastAsia="Times New Roman"/>
        </w:rPr>
        <w:t>A cleaned and documented panel dataset combining FRED-QD and FHFA state house price indices</w:t>
      </w:r>
    </w:p>
    <w:p w14:paraId="0A687C89" w14:textId="77777777" w:rsidR="00177E7E" w:rsidRDefault="00000000">
      <w:pPr>
        <w:pStyle w:val="a4"/>
        <w:numPr>
          <w:ilvl w:val="0"/>
          <w:numId w:val="2"/>
        </w:numPr>
        <w:spacing w:after="120" w:line="480" w:lineRule="auto"/>
      </w:pPr>
      <w:r>
        <w:rPr>
          <w:rFonts w:eastAsia="Times New Roman"/>
        </w:rPr>
        <w:t>Replication code in Python or R with full documentation</w:t>
      </w:r>
    </w:p>
    <w:p w14:paraId="61FEEE03" w14:textId="12116AC5" w:rsidR="00D15F5D" w:rsidRDefault="00000000" w:rsidP="00D15F5D">
      <w:pPr>
        <w:pStyle w:val="a4"/>
        <w:numPr>
          <w:ilvl w:val="0"/>
          <w:numId w:val="2"/>
        </w:numPr>
        <w:spacing w:after="120" w:line="480" w:lineRule="auto"/>
      </w:pPr>
      <w:r>
        <w:rPr>
          <w:rFonts w:eastAsia="Times New Roman"/>
        </w:rPr>
        <w:t>Data visualizations including time series plots, impulse response functions, and state comparison charts</w:t>
      </w:r>
    </w:p>
    <w:p w14:paraId="6A7B58C6" w14:textId="24FFF6AD" w:rsidR="00177E7E" w:rsidRDefault="00000000">
      <w:pPr>
        <w:pStyle w:val="1"/>
      </w:pPr>
      <w:r>
        <w:t>Literature Cited</w:t>
      </w:r>
    </w:p>
    <w:p w14:paraId="19099706" w14:textId="77777777" w:rsidR="00177E7E" w:rsidRDefault="00000000">
      <w:pPr>
        <w:spacing w:after="200" w:line="480" w:lineRule="auto"/>
      </w:pPr>
      <w:r>
        <w:rPr>
          <w:rFonts w:eastAsia="Times New Roman"/>
        </w:rPr>
        <w:t>Blanchard, O., &amp; Bernanke, B. S. (2023). What caused the U.S. pandemic-era inflation? National Bureau of Economic Research Working Paper No. 31417.</w:t>
      </w:r>
    </w:p>
    <w:p w14:paraId="1FF374A8" w14:textId="77777777" w:rsidR="00177E7E" w:rsidRDefault="00000000">
      <w:pPr>
        <w:spacing w:after="200" w:line="480" w:lineRule="auto"/>
      </w:pPr>
      <w:r>
        <w:rPr>
          <w:rFonts w:eastAsia="Times New Roman"/>
        </w:rPr>
        <w:t>Case, K. E., &amp; Shiller, R. J. (1989). The efficiency of the market for single-family homes. American Economic Review, 79(1), 125-137.</w:t>
      </w:r>
    </w:p>
    <w:p w14:paraId="59CF22B4" w14:textId="77777777" w:rsidR="00177E7E" w:rsidRDefault="00000000">
      <w:pPr>
        <w:spacing w:after="200" w:line="480" w:lineRule="auto"/>
      </w:pPr>
      <w:r>
        <w:rPr>
          <w:rFonts w:eastAsia="Times New Roman"/>
        </w:rPr>
        <w:t>Federal Housing Finance Agency. (2024). FHFA house price index: State-level data. https://www.fhfa.gov/DataTools/Downloads/Pages/House-Price-Index-Datasets.aspx</w:t>
      </w:r>
    </w:p>
    <w:p w14:paraId="7A732CC7" w14:textId="77777777" w:rsidR="00177E7E" w:rsidRDefault="00000000">
      <w:pPr>
        <w:spacing w:after="200" w:line="480" w:lineRule="auto"/>
      </w:pPr>
      <w:r>
        <w:rPr>
          <w:rFonts w:eastAsia="Times New Roman"/>
        </w:rPr>
        <w:t>Glaeser, E. L., &amp; Gyourko, J. (2018). The economic implications of housing supply. Journal of Economic Perspectives, 32(1), 3-30.</w:t>
      </w:r>
    </w:p>
    <w:p w14:paraId="530623DA" w14:textId="678D80F0" w:rsidR="00177E7E" w:rsidRDefault="00000000" w:rsidP="00D15F5D">
      <w:pPr>
        <w:spacing w:after="200" w:line="480" w:lineRule="auto"/>
        <w:rPr>
          <w:rFonts w:eastAsia="Times New Roman"/>
        </w:rPr>
      </w:pPr>
      <w:r>
        <w:rPr>
          <w:rFonts w:eastAsia="Times New Roman"/>
        </w:rPr>
        <w:t>McCracken, M. W., &amp; Ng, S. (2016). FRED-MD: A monthly database for macroeconomic research. Journal of Business and Economic Statistics, 34(4), 574-589.</w:t>
      </w:r>
    </w:p>
    <w:p w14:paraId="41580483" w14:textId="77777777" w:rsidR="004A4FC9" w:rsidRDefault="004A4FC9" w:rsidP="00D15F5D">
      <w:pPr>
        <w:spacing w:after="200" w:line="480" w:lineRule="auto"/>
        <w:rPr>
          <w:rFonts w:eastAsia="Times New Roman"/>
        </w:rPr>
      </w:pPr>
    </w:p>
    <w:p w14:paraId="15D78BCB" w14:textId="77777777" w:rsidR="004A4FC9" w:rsidRPr="004A4FC9" w:rsidRDefault="004A4FC9" w:rsidP="00D15F5D">
      <w:pPr>
        <w:spacing w:after="200" w:line="480" w:lineRule="auto"/>
      </w:pPr>
    </w:p>
    <w:p w14:paraId="2D9A548A" w14:textId="77777777" w:rsidR="00177E7E" w:rsidRDefault="00000000">
      <w:pPr>
        <w:pStyle w:val="1"/>
      </w:pPr>
      <w:r>
        <w:lastRenderedPageBreak/>
        <w:t>Graduate Committee Approval</w:t>
      </w:r>
    </w:p>
    <w:p w14:paraId="14A9ECA8" w14:textId="77777777" w:rsidR="00177E7E" w:rsidRDefault="00000000">
      <w:pPr>
        <w:spacing w:after="200" w:line="480" w:lineRule="auto"/>
      </w:pPr>
      <w:r>
        <w:rPr>
          <w:rFonts w:eastAsia="Times New Roman"/>
        </w:rPr>
        <w:t>Please have each of your committee members read and sign this document.</w:t>
      </w:r>
    </w:p>
    <w:p w14:paraId="460FF0F0" w14:textId="3A98676E" w:rsidR="00D15F5D" w:rsidRDefault="00000000" w:rsidP="00D15F5D">
      <w:pPr>
        <w:spacing w:after="200" w:line="480" w:lineRule="auto"/>
      </w:pPr>
      <w:r>
        <w:rPr>
          <w:rFonts w:eastAsia="Times New Roman"/>
        </w:rPr>
        <w:t>I have read Andy Chen's project proposal and find it adequate and I agree to serve on their graduate advisory committee.</w:t>
      </w:r>
    </w:p>
    <w:p w14:paraId="3E7A0AB5" w14:textId="77777777" w:rsidR="00177E7E" w:rsidRDefault="00000000">
      <w:pPr>
        <w:spacing w:after="80"/>
      </w:pPr>
      <w:r>
        <w:rPr>
          <w:rFonts w:eastAsia="Times New Roman"/>
          <w:b/>
          <w:bCs/>
        </w:rPr>
        <w:t>Committee Chair:</w:t>
      </w:r>
    </w:p>
    <w:p w14:paraId="6AF99BBE" w14:textId="77777777" w:rsidR="00177E7E" w:rsidRDefault="00000000">
      <w:pPr>
        <w:spacing w:after="200" w:line="480" w:lineRule="auto"/>
      </w:pPr>
      <w:r>
        <w:rPr>
          <w:rFonts w:eastAsia="Times New Roman"/>
        </w:rPr>
        <w:t>Printed: Nicholas Lytal</w:t>
      </w:r>
    </w:p>
    <w:p w14:paraId="04D8A7A3" w14:textId="77777777" w:rsidR="00177E7E" w:rsidRDefault="00000000">
      <w:pPr>
        <w:spacing w:after="200" w:line="480" w:lineRule="auto"/>
      </w:pPr>
      <w:r>
        <w:rPr>
          <w:rFonts w:eastAsia="Times New Roman"/>
        </w:rPr>
        <w:t>Signed: ___________________________</w:t>
      </w:r>
    </w:p>
    <w:p w14:paraId="06A3C301" w14:textId="77777777" w:rsidR="00177E7E" w:rsidRDefault="00000000">
      <w:pPr>
        <w:spacing w:after="200" w:line="480" w:lineRule="auto"/>
      </w:pPr>
      <w:r>
        <w:rPr>
          <w:rFonts w:eastAsia="Times New Roman"/>
        </w:rPr>
        <w:t>Date: ___________________________</w:t>
      </w:r>
    </w:p>
    <w:p w14:paraId="537CA5F9" w14:textId="77777777" w:rsidR="00177E7E" w:rsidRDefault="00177E7E"/>
    <w:p w14:paraId="6FF82C87" w14:textId="77777777" w:rsidR="00177E7E" w:rsidRDefault="00000000">
      <w:pPr>
        <w:spacing w:after="80"/>
      </w:pPr>
      <w:r>
        <w:rPr>
          <w:rFonts w:eastAsia="Times New Roman"/>
          <w:b/>
          <w:bCs/>
        </w:rPr>
        <w:t>Second Member:</w:t>
      </w:r>
    </w:p>
    <w:p w14:paraId="1ED1268A" w14:textId="77777777" w:rsidR="00177E7E" w:rsidRDefault="00000000">
      <w:pPr>
        <w:spacing w:after="200" w:line="480" w:lineRule="auto"/>
      </w:pPr>
      <w:r>
        <w:rPr>
          <w:rFonts w:eastAsia="Times New Roman"/>
        </w:rPr>
        <w:t>Printed: Kathy Gray</w:t>
      </w:r>
    </w:p>
    <w:p w14:paraId="58C03A66" w14:textId="77777777" w:rsidR="00177E7E" w:rsidRDefault="00000000">
      <w:pPr>
        <w:spacing w:after="200" w:line="480" w:lineRule="auto"/>
      </w:pPr>
      <w:r>
        <w:rPr>
          <w:rFonts w:eastAsia="Times New Roman"/>
        </w:rPr>
        <w:t>Signed: ___________________________</w:t>
      </w:r>
    </w:p>
    <w:p w14:paraId="618D32B8" w14:textId="77777777" w:rsidR="00177E7E" w:rsidRDefault="00000000">
      <w:pPr>
        <w:spacing w:after="200" w:line="480" w:lineRule="auto"/>
      </w:pPr>
      <w:r>
        <w:rPr>
          <w:rFonts w:eastAsia="Times New Roman"/>
        </w:rPr>
        <w:t>Date: ___________________________</w:t>
      </w:r>
    </w:p>
    <w:sectPr w:rsidR="00177E7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8A3E" w14:textId="77777777" w:rsidR="007A2EE8" w:rsidRDefault="007A2EE8">
      <w:r>
        <w:separator/>
      </w:r>
    </w:p>
  </w:endnote>
  <w:endnote w:type="continuationSeparator" w:id="0">
    <w:p w14:paraId="422D7F6C" w14:textId="77777777" w:rsidR="007A2EE8" w:rsidRDefault="007A2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EA0D" w14:textId="77777777" w:rsidR="00177E7E" w:rsidRDefault="00000000">
    <w:pPr>
      <w:jc w:val="right"/>
    </w:pPr>
    <w:r>
      <w:fldChar w:fldCharType="begin"/>
    </w:r>
    <w:r>
      <w:rPr>
        <w:rFonts w:eastAsia="Times New Roman"/>
      </w:rPr>
      <w:instrText>PAGE</w:instrText>
    </w:r>
    <w:r>
      <w:fldChar w:fldCharType="separate"/>
    </w:r>
    <w:r w:rsidR="00D15F5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7C6F" w14:textId="77777777" w:rsidR="007A2EE8" w:rsidRDefault="007A2EE8">
      <w:r>
        <w:separator/>
      </w:r>
    </w:p>
  </w:footnote>
  <w:footnote w:type="continuationSeparator" w:id="0">
    <w:p w14:paraId="42CD9FD4" w14:textId="77777777" w:rsidR="007A2EE8" w:rsidRDefault="007A2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05BA"/>
    <w:multiLevelType w:val="hybridMultilevel"/>
    <w:tmpl w:val="A1827456"/>
    <w:lvl w:ilvl="0" w:tplc="903488FA">
      <w:start w:val="1"/>
      <w:numFmt w:val="bullet"/>
      <w:lvlText w:val="•"/>
      <w:lvlJc w:val="left"/>
      <w:pPr>
        <w:ind w:left="720" w:hanging="360"/>
      </w:pPr>
    </w:lvl>
    <w:lvl w:ilvl="1" w:tplc="70C01A4C">
      <w:numFmt w:val="decimal"/>
      <w:lvlText w:val=""/>
      <w:lvlJc w:val="left"/>
    </w:lvl>
    <w:lvl w:ilvl="2" w:tplc="2124DA26">
      <w:numFmt w:val="decimal"/>
      <w:lvlText w:val=""/>
      <w:lvlJc w:val="left"/>
    </w:lvl>
    <w:lvl w:ilvl="3" w:tplc="649AC4A2">
      <w:numFmt w:val="decimal"/>
      <w:lvlText w:val=""/>
      <w:lvlJc w:val="left"/>
    </w:lvl>
    <w:lvl w:ilvl="4" w:tplc="2452D34E">
      <w:numFmt w:val="decimal"/>
      <w:lvlText w:val=""/>
      <w:lvlJc w:val="left"/>
    </w:lvl>
    <w:lvl w:ilvl="5" w:tplc="03761348">
      <w:numFmt w:val="decimal"/>
      <w:lvlText w:val=""/>
      <w:lvlJc w:val="left"/>
    </w:lvl>
    <w:lvl w:ilvl="6" w:tplc="02469E40">
      <w:numFmt w:val="decimal"/>
      <w:lvlText w:val=""/>
      <w:lvlJc w:val="left"/>
    </w:lvl>
    <w:lvl w:ilvl="7" w:tplc="6C1CF46C">
      <w:numFmt w:val="decimal"/>
      <w:lvlText w:val=""/>
      <w:lvlJc w:val="left"/>
    </w:lvl>
    <w:lvl w:ilvl="8" w:tplc="824C22CA">
      <w:numFmt w:val="decimal"/>
      <w:lvlText w:val=""/>
      <w:lvlJc w:val="left"/>
    </w:lvl>
  </w:abstractNum>
  <w:abstractNum w:abstractNumId="1" w15:restartNumberingAfterBreak="0">
    <w:nsid w:val="512E0D2A"/>
    <w:multiLevelType w:val="hybridMultilevel"/>
    <w:tmpl w:val="04708CC8"/>
    <w:lvl w:ilvl="0" w:tplc="3BCEBD52">
      <w:start w:val="1"/>
      <w:numFmt w:val="bullet"/>
      <w:lvlText w:val="●"/>
      <w:lvlJc w:val="left"/>
      <w:pPr>
        <w:ind w:left="720" w:hanging="360"/>
      </w:pPr>
    </w:lvl>
    <w:lvl w:ilvl="1" w:tplc="91781DF6">
      <w:start w:val="1"/>
      <w:numFmt w:val="bullet"/>
      <w:lvlText w:val="○"/>
      <w:lvlJc w:val="left"/>
      <w:pPr>
        <w:ind w:left="1440" w:hanging="360"/>
      </w:pPr>
    </w:lvl>
    <w:lvl w:ilvl="2" w:tplc="CDAA80C6">
      <w:start w:val="1"/>
      <w:numFmt w:val="bullet"/>
      <w:lvlText w:val="■"/>
      <w:lvlJc w:val="left"/>
      <w:pPr>
        <w:ind w:left="2160" w:hanging="360"/>
      </w:pPr>
    </w:lvl>
    <w:lvl w:ilvl="3" w:tplc="CEC854A0">
      <w:start w:val="1"/>
      <w:numFmt w:val="bullet"/>
      <w:lvlText w:val="●"/>
      <w:lvlJc w:val="left"/>
      <w:pPr>
        <w:ind w:left="2880" w:hanging="360"/>
      </w:pPr>
    </w:lvl>
    <w:lvl w:ilvl="4" w:tplc="0792ACB6">
      <w:start w:val="1"/>
      <w:numFmt w:val="bullet"/>
      <w:lvlText w:val="○"/>
      <w:lvlJc w:val="left"/>
      <w:pPr>
        <w:ind w:left="3600" w:hanging="360"/>
      </w:pPr>
    </w:lvl>
    <w:lvl w:ilvl="5" w:tplc="5E66F522">
      <w:start w:val="1"/>
      <w:numFmt w:val="bullet"/>
      <w:lvlText w:val="■"/>
      <w:lvlJc w:val="left"/>
      <w:pPr>
        <w:ind w:left="4320" w:hanging="360"/>
      </w:pPr>
    </w:lvl>
    <w:lvl w:ilvl="6" w:tplc="A75C13B8">
      <w:start w:val="1"/>
      <w:numFmt w:val="bullet"/>
      <w:lvlText w:val="●"/>
      <w:lvlJc w:val="left"/>
      <w:pPr>
        <w:ind w:left="5040" w:hanging="360"/>
      </w:pPr>
    </w:lvl>
    <w:lvl w:ilvl="7" w:tplc="E7566B20">
      <w:start w:val="1"/>
      <w:numFmt w:val="bullet"/>
      <w:lvlText w:val="●"/>
      <w:lvlJc w:val="left"/>
      <w:pPr>
        <w:ind w:left="5760" w:hanging="360"/>
      </w:pPr>
    </w:lvl>
    <w:lvl w:ilvl="8" w:tplc="3690A102">
      <w:start w:val="1"/>
      <w:numFmt w:val="bullet"/>
      <w:lvlText w:val="●"/>
      <w:lvlJc w:val="left"/>
      <w:pPr>
        <w:ind w:left="6480" w:hanging="360"/>
      </w:pPr>
    </w:lvl>
  </w:abstractNum>
  <w:abstractNum w:abstractNumId="2" w15:restartNumberingAfterBreak="0">
    <w:nsid w:val="654D751B"/>
    <w:multiLevelType w:val="hybridMultilevel"/>
    <w:tmpl w:val="ABEAA306"/>
    <w:lvl w:ilvl="0" w:tplc="BE7ADA06">
      <w:start w:val="1"/>
      <w:numFmt w:val="decimal"/>
      <w:lvlText w:val="%1."/>
      <w:lvlJc w:val="left"/>
      <w:pPr>
        <w:ind w:left="720" w:hanging="360"/>
      </w:pPr>
    </w:lvl>
    <w:lvl w:ilvl="1" w:tplc="BC024E76">
      <w:numFmt w:val="decimal"/>
      <w:lvlText w:val=""/>
      <w:lvlJc w:val="left"/>
    </w:lvl>
    <w:lvl w:ilvl="2" w:tplc="88A2472A">
      <w:numFmt w:val="decimal"/>
      <w:lvlText w:val=""/>
      <w:lvlJc w:val="left"/>
    </w:lvl>
    <w:lvl w:ilvl="3" w:tplc="92183D16">
      <w:numFmt w:val="decimal"/>
      <w:lvlText w:val=""/>
      <w:lvlJc w:val="left"/>
    </w:lvl>
    <w:lvl w:ilvl="4" w:tplc="D14E1310">
      <w:numFmt w:val="decimal"/>
      <w:lvlText w:val=""/>
      <w:lvlJc w:val="left"/>
    </w:lvl>
    <w:lvl w:ilvl="5" w:tplc="A676AA6E">
      <w:numFmt w:val="decimal"/>
      <w:lvlText w:val=""/>
      <w:lvlJc w:val="left"/>
    </w:lvl>
    <w:lvl w:ilvl="6" w:tplc="E8CC99B6">
      <w:numFmt w:val="decimal"/>
      <w:lvlText w:val=""/>
      <w:lvlJc w:val="left"/>
    </w:lvl>
    <w:lvl w:ilvl="7" w:tplc="76B09F3A">
      <w:numFmt w:val="decimal"/>
      <w:lvlText w:val=""/>
      <w:lvlJc w:val="left"/>
    </w:lvl>
    <w:lvl w:ilvl="8" w:tplc="DD1E4DC2">
      <w:numFmt w:val="decimal"/>
      <w:lvlText w:val=""/>
      <w:lvlJc w:val="left"/>
    </w:lvl>
  </w:abstractNum>
  <w:abstractNum w:abstractNumId="3" w15:restartNumberingAfterBreak="0">
    <w:nsid w:val="77426F11"/>
    <w:multiLevelType w:val="hybridMultilevel"/>
    <w:tmpl w:val="608EBCFA"/>
    <w:lvl w:ilvl="0" w:tplc="6232B070">
      <w:start w:val="1"/>
      <w:numFmt w:val="decimal"/>
      <w:lvlText w:val="%1."/>
      <w:lvlJc w:val="left"/>
      <w:pPr>
        <w:ind w:left="720" w:hanging="360"/>
      </w:pPr>
    </w:lvl>
    <w:lvl w:ilvl="1" w:tplc="4E1CD9FE">
      <w:numFmt w:val="decimal"/>
      <w:lvlText w:val=""/>
      <w:lvlJc w:val="left"/>
    </w:lvl>
    <w:lvl w:ilvl="2" w:tplc="8E189A94">
      <w:numFmt w:val="decimal"/>
      <w:lvlText w:val=""/>
      <w:lvlJc w:val="left"/>
    </w:lvl>
    <w:lvl w:ilvl="3" w:tplc="A3A4639A">
      <w:numFmt w:val="decimal"/>
      <w:lvlText w:val=""/>
      <w:lvlJc w:val="left"/>
    </w:lvl>
    <w:lvl w:ilvl="4" w:tplc="78FCBBFA">
      <w:numFmt w:val="decimal"/>
      <w:lvlText w:val=""/>
      <w:lvlJc w:val="left"/>
    </w:lvl>
    <w:lvl w:ilvl="5" w:tplc="E1AAC158">
      <w:numFmt w:val="decimal"/>
      <w:lvlText w:val=""/>
      <w:lvlJc w:val="left"/>
    </w:lvl>
    <w:lvl w:ilvl="6" w:tplc="C65A0EFA">
      <w:numFmt w:val="decimal"/>
      <w:lvlText w:val=""/>
      <w:lvlJc w:val="left"/>
    </w:lvl>
    <w:lvl w:ilvl="7" w:tplc="F1EA319A">
      <w:numFmt w:val="decimal"/>
      <w:lvlText w:val=""/>
      <w:lvlJc w:val="left"/>
    </w:lvl>
    <w:lvl w:ilvl="8" w:tplc="6F1AA9BC">
      <w:numFmt w:val="decimal"/>
      <w:lvlText w:val=""/>
      <w:lvlJc w:val="left"/>
    </w:lvl>
  </w:abstractNum>
  <w:num w:numId="1" w16cid:durableId="856163452">
    <w:abstractNumId w:val="1"/>
    <w:lvlOverride w:ilvl="0">
      <w:startOverride w:val="1"/>
    </w:lvlOverride>
  </w:num>
  <w:num w:numId="2" w16cid:durableId="1693067064">
    <w:abstractNumId w:val="0"/>
    <w:lvlOverride w:ilvl="0">
      <w:startOverride w:val="1"/>
    </w:lvlOverride>
  </w:num>
  <w:num w:numId="3" w16cid:durableId="10255175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E7E"/>
    <w:rsid w:val="00015DB2"/>
    <w:rsid w:val="00177E7E"/>
    <w:rsid w:val="004A4FC9"/>
    <w:rsid w:val="007A2EE8"/>
    <w:rsid w:val="007C591C"/>
    <w:rsid w:val="009D4BEF"/>
    <w:rsid w:val="00B1647F"/>
    <w:rsid w:val="00D15F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29BE"/>
  <w15:docId w15:val="{4FBCA147-3610-45AF-80FC-160EEC0F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Times New Roman"/>
      <w:b/>
      <w:bCs/>
    </w:rPr>
  </w:style>
  <w:style w:type="paragraph" w:styleId="2">
    <w:name w:val="heading 2"/>
    <w:uiPriority w:val="9"/>
    <w:unhideWhenUsed/>
    <w:qFormat/>
    <w:pPr>
      <w:spacing w:before="240" w:after="80"/>
      <w:outlineLvl w:val="1"/>
    </w:pPr>
    <w:rPr>
      <w:rFonts w:eastAsia="Times New Roman"/>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2146</Words>
  <Characters>12236</Characters>
  <Application>Microsoft Office Word</Application>
  <DocSecurity>0</DocSecurity>
  <Lines>101</Lines>
  <Paragraphs>28</Paragraphs>
  <ScaleCrop>false</ScaleCrop>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Chen</cp:lastModifiedBy>
  <cp:revision>3</cp:revision>
  <dcterms:created xsi:type="dcterms:W3CDTF">2026-04-16T23:46:00Z</dcterms:created>
  <dcterms:modified xsi:type="dcterms:W3CDTF">2026-04-19T23:22:00Z</dcterms:modified>
</cp:coreProperties>
</file>