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A5A9" w14:textId="77777777" w:rsidR="00E11838" w:rsidRDefault="00257249">
      <w:pPr>
        <w:pStyle w:val="Titolo"/>
      </w:pPr>
      <w:r>
        <w:t>White Paper – Correlazione tra KPI di Qualità e KPI Finanziari</w:t>
      </w:r>
    </w:p>
    <w:p w14:paraId="3D4BC28B" w14:textId="77777777" w:rsidR="00213DCA" w:rsidRDefault="00213DCA" w:rsidP="00213DCA">
      <w:pPr>
        <w:pStyle w:val="Titolo1"/>
        <w:jc w:val="left"/>
      </w:pPr>
    </w:p>
    <w:p w14:paraId="4021DC78" w14:textId="77777777" w:rsidR="00213DCA" w:rsidRDefault="00213DCA" w:rsidP="00213DCA">
      <w:pPr>
        <w:pStyle w:val="Titolo1"/>
        <w:jc w:val="left"/>
      </w:pPr>
    </w:p>
    <w:p w14:paraId="5EF12307" w14:textId="1E73160E" w:rsidR="00E11838" w:rsidRDefault="00257249" w:rsidP="00213DCA">
      <w:pPr>
        <w:pStyle w:val="Titolo1"/>
        <w:jc w:val="left"/>
      </w:pPr>
      <w:r>
        <w:t>1. Introduzione</w:t>
      </w:r>
    </w:p>
    <w:p w14:paraId="63D9AD31" w14:textId="77777777" w:rsidR="00E11838" w:rsidRDefault="00257249">
      <w:r>
        <w:t xml:space="preserve">Un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gestione</w:t>
      </w:r>
      <w:proofErr w:type="spellEnd"/>
      <w:r>
        <w:t xml:space="preserve"> della qualità ben progettato non solo migliora la conformità e la stabilità dei processi, ma genera impatti misurabili sul bilancio aziendale. Questa sezione illustra come i KPI operativi della qualità si correlino direttamente a indicatori economico-finanziari.</w:t>
      </w:r>
    </w:p>
    <w:p w14:paraId="3293D3B8" w14:textId="77777777" w:rsidR="00213DCA" w:rsidRDefault="00213DCA" w:rsidP="00213DCA">
      <w:pPr>
        <w:pStyle w:val="Titolo1"/>
        <w:jc w:val="left"/>
      </w:pPr>
    </w:p>
    <w:p w14:paraId="30D60EFD" w14:textId="45DC6176" w:rsidR="00E11838" w:rsidRDefault="00257249" w:rsidP="00213DCA">
      <w:pPr>
        <w:pStyle w:val="Titolo1"/>
        <w:jc w:val="left"/>
      </w:pPr>
      <w:r>
        <w:t>2. Principali KPI finanziari da monitorare</w:t>
      </w:r>
    </w:p>
    <w:p w14:paraId="6CAB7219" w14:textId="714448C5" w:rsidR="00213DCA" w:rsidRDefault="00257249" w:rsidP="00213DCA">
      <w:r>
        <w:t>- Cost of Quality (CoQ) e Cost of Poor Quality (CoPQ)</w:t>
      </w:r>
      <w:r>
        <w:br/>
        <w:t>- Margine operativo lordo (EBITDA Margin)</w:t>
      </w:r>
      <w:r>
        <w:br/>
        <w:t>- Productivity per FTE</w:t>
      </w:r>
      <w:r>
        <w:br/>
        <w:t>- Inventory Turnover</w:t>
      </w:r>
      <w:r>
        <w:br/>
        <w:t>- Warranty &amp; Claim Costs</w:t>
      </w:r>
      <w:r>
        <w:br/>
        <w:t>- Revenue at Risk (RAR)</w:t>
      </w:r>
      <w:r>
        <w:br/>
        <w:t>- Working Capital Efficiency (CCC)</w:t>
      </w:r>
      <w:r>
        <w:br/>
      </w:r>
    </w:p>
    <w:p w14:paraId="567BAEA1" w14:textId="77777777" w:rsidR="00213DCA" w:rsidRDefault="00213DCA" w:rsidP="00213DCA"/>
    <w:p w14:paraId="7E8BE8CB" w14:textId="77777777" w:rsidR="00213DCA" w:rsidRDefault="00213DCA" w:rsidP="00213DCA"/>
    <w:p w14:paraId="540DF94C" w14:textId="638E7F03" w:rsidR="00E11838" w:rsidRDefault="00257249" w:rsidP="00213DCA">
      <w:pPr>
        <w:pStyle w:val="Titolo1"/>
        <w:jc w:val="left"/>
      </w:pPr>
      <w:r>
        <w:lastRenderedPageBreak/>
        <w:t>3. Correlazione Processo ↔ Finanza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1838" w14:paraId="7346DB38" w14:textId="77777777">
        <w:tc>
          <w:tcPr>
            <w:tcW w:w="2880" w:type="dxa"/>
          </w:tcPr>
          <w:p w14:paraId="3721BC91" w14:textId="77777777" w:rsidR="00E11838" w:rsidRDefault="00257249">
            <w:r>
              <w:t>KPI di processo</w:t>
            </w:r>
          </w:p>
        </w:tc>
        <w:tc>
          <w:tcPr>
            <w:tcW w:w="2880" w:type="dxa"/>
          </w:tcPr>
          <w:p w14:paraId="244BC5FE" w14:textId="77777777" w:rsidR="00E11838" w:rsidRDefault="00257249">
            <w:r>
              <w:t>KPI finanziario collegato</w:t>
            </w:r>
          </w:p>
        </w:tc>
        <w:tc>
          <w:tcPr>
            <w:tcW w:w="2880" w:type="dxa"/>
          </w:tcPr>
          <w:p w14:paraId="09F76769" w14:textId="77777777" w:rsidR="00E11838" w:rsidRDefault="00257249">
            <w:r>
              <w:t>Meccanismo di correlazione</w:t>
            </w:r>
          </w:p>
        </w:tc>
      </w:tr>
      <w:tr w:rsidR="00E11838" w14:paraId="5C1660A0" w14:textId="77777777">
        <w:tc>
          <w:tcPr>
            <w:tcW w:w="2880" w:type="dxa"/>
          </w:tcPr>
          <w:p w14:paraId="0054D667" w14:textId="77777777" w:rsidR="00E11838" w:rsidRDefault="00257249">
            <w:r>
              <w:t>First Pass Yield (FPY)</w:t>
            </w:r>
          </w:p>
        </w:tc>
        <w:tc>
          <w:tcPr>
            <w:tcW w:w="2880" w:type="dxa"/>
          </w:tcPr>
          <w:p w14:paraId="51B1E5FD" w14:textId="77777777" w:rsidR="00E11838" w:rsidRDefault="00257249">
            <w:r>
              <w:t>Cost of Poor Quality (CoPQ)</w:t>
            </w:r>
          </w:p>
        </w:tc>
        <w:tc>
          <w:tcPr>
            <w:tcW w:w="2880" w:type="dxa"/>
          </w:tcPr>
          <w:p w14:paraId="30D0FA12" w14:textId="77777777" w:rsidR="00E11838" w:rsidRDefault="00257249">
            <w:r>
              <w:t>Più prodotti conformi al primo tentativo → meno rilavorazioni e difetti → riduzione costi di non qualità</w:t>
            </w:r>
          </w:p>
        </w:tc>
      </w:tr>
      <w:tr w:rsidR="00E11838" w14:paraId="2A099FF6" w14:textId="77777777">
        <w:tc>
          <w:tcPr>
            <w:tcW w:w="2880" w:type="dxa"/>
          </w:tcPr>
          <w:p w14:paraId="6185BD07" w14:textId="77777777" w:rsidR="00E11838" w:rsidRDefault="00257249">
            <w:r>
              <w:t>Defect Rate</w:t>
            </w:r>
          </w:p>
        </w:tc>
        <w:tc>
          <w:tcPr>
            <w:tcW w:w="2880" w:type="dxa"/>
          </w:tcPr>
          <w:p w14:paraId="62B1ACC1" w14:textId="77777777" w:rsidR="00E11838" w:rsidRDefault="00257249">
            <w:r>
              <w:t>Warranty &amp; Claim Costs</w:t>
            </w:r>
          </w:p>
        </w:tc>
        <w:tc>
          <w:tcPr>
            <w:tcW w:w="2880" w:type="dxa"/>
          </w:tcPr>
          <w:p w14:paraId="553D4194" w14:textId="77777777" w:rsidR="00E11838" w:rsidRDefault="00257249">
            <w:r>
              <w:t>Riduzione difetti → meno reclami, garanzie e penali contrattuali</w:t>
            </w:r>
          </w:p>
        </w:tc>
      </w:tr>
      <w:tr w:rsidR="00E11838" w14:paraId="2159E55E" w14:textId="77777777">
        <w:tc>
          <w:tcPr>
            <w:tcW w:w="2880" w:type="dxa"/>
          </w:tcPr>
          <w:p w14:paraId="4E4A6800" w14:textId="77777777" w:rsidR="00E11838" w:rsidRDefault="00257249">
            <w:r>
              <w:t>Rework &amp; Scrap Cost %</w:t>
            </w:r>
          </w:p>
        </w:tc>
        <w:tc>
          <w:tcPr>
            <w:tcW w:w="2880" w:type="dxa"/>
          </w:tcPr>
          <w:p w14:paraId="1784945B" w14:textId="77777777" w:rsidR="00E11838" w:rsidRDefault="00257249">
            <w:r>
              <w:t>EBITDA Margin</w:t>
            </w:r>
          </w:p>
        </w:tc>
        <w:tc>
          <w:tcPr>
            <w:tcW w:w="2880" w:type="dxa"/>
          </w:tcPr>
          <w:p w14:paraId="543C1E0E" w14:textId="77777777" w:rsidR="00E11838" w:rsidRDefault="00257249">
            <w:r>
              <w:t>Minori rilavorazioni e scarti → riduzione costi operativi → aumento margine</w:t>
            </w:r>
          </w:p>
        </w:tc>
      </w:tr>
      <w:tr w:rsidR="00E11838" w14:paraId="19616A71" w14:textId="77777777">
        <w:tc>
          <w:tcPr>
            <w:tcW w:w="2880" w:type="dxa"/>
          </w:tcPr>
          <w:p w14:paraId="10C0F84E" w14:textId="77777777" w:rsidR="00E11838" w:rsidRDefault="00257249">
            <w:r>
              <w:t>Training Time per Addetto</w:t>
            </w:r>
          </w:p>
        </w:tc>
        <w:tc>
          <w:tcPr>
            <w:tcW w:w="2880" w:type="dxa"/>
          </w:tcPr>
          <w:p w14:paraId="560281CE" w14:textId="77777777" w:rsidR="00E11838" w:rsidRDefault="00257249">
            <w:r>
              <w:t>Productivity per FTE</w:t>
            </w:r>
          </w:p>
        </w:tc>
        <w:tc>
          <w:tcPr>
            <w:tcW w:w="2880" w:type="dxa"/>
          </w:tcPr>
          <w:p w14:paraId="393AA1E4" w14:textId="77777777" w:rsidR="00E11838" w:rsidRDefault="00257249">
            <w:r>
              <w:t>Formazione più rapida → operatori più produttivi a parità di costo</w:t>
            </w:r>
          </w:p>
        </w:tc>
      </w:tr>
      <w:tr w:rsidR="00E11838" w14:paraId="20362BEB" w14:textId="77777777">
        <w:tc>
          <w:tcPr>
            <w:tcW w:w="2880" w:type="dxa"/>
          </w:tcPr>
          <w:p w14:paraId="493D36E2" w14:textId="77777777" w:rsidR="00E11838" w:rsidRDefault="00257249">
            <w:r>
              <w:t>Lead Time Variability</w:t>
            </w:r>
          </w:p>
        </w:tc>
        <w:tc>
          <w:tcPr>
            <w:tcW w:w="2880" w:type="dxa"/>
          </w:tcPr>
          <w:p w14:paraId="4C6F6108" w14:textId="77777777" w:rsidR="00E11838" w:rsidRDefault="00257249">
            <w:r>
              <w:t>Inventory Turnover / Working Capital Efficiency</w:t>
            </w:r>
          </w:p>
        </w:tc>
        <w:tc>
          <w:tcPr>
            <w:tcW w:w="2880" w:type="dxa"/>
          </w:tcPr>
          <w:p w14:paraId="67EA3D15" w14:textId="77777777" w:rsidR="00E11838" w:rsidRDefault="00257249">
            <w:r>
              <w:t>Processi più stabili → meno scorte di sicurezza → rotazione più veloce e capitale circolante più efficiente</w:t>
            </w:r>
          </w:p>
        </w:tc>
      </w:tr>
      <w:tr w:rsidR="00E11838" w14:paraId="72BA53CA" w14:textId="77777777">
        <w:tc>
          <w:tcPr>
            <w:tcW w:w="2880" w:type="dxa"/>
          </w:tcPr>
          <w:p w14:paraId="593F8F51" w14:textId="77777777" w:rsidR="00E11838" w:rsidRDefault="00257249">
            <w:r>
              <w:t>On-Time Delivery (OTD)</w:t>
            </w:r>
          </w:p>
        </w:tc>
        <w:tc>
          <w:tcPr>
            <w:tcW w:w="2880" w:type="dxa"/>
          </w:tcPr>
          <w:p w14:paraId="7669F20F" w14:textId="77777777" w:rsidR="00E11838" w:rsidRDefault="00257249">
            <w:r>
              <w:t>Revenue at Risk (RAR)</w:t>
            </w:r>
          </w:p>
        </w:tc>
        <w:tc>
          <w:tcPr>
            <w:tcW w:w="2880" w:type="dxa"/>
          </w:tcPr>
          <w:p w14:paraId="59782F45" w14:textId="77777777" w:rsidR="00E11838" w:rsidRDefault="00257249">
            <w:r>
              <w:t>Puntualità consegne → meno ricavi persi per penali e perdita clienti</w:t>
            </w:r>
          </w:p>
        </w:tc>
      </w:tr>
      <w:tr w:rsidR="00E11838" w14:paraId="467A250F" w14:textId="77777777">
        <w:tc>
          <w:tcPr>
            <w:tcW w:w="2880" w:type="dxa"/>
          </w:tcPr>
          <w:p w14:paraId="712D5189" w14:textId="77777777" w:rsidR="00E11838" w:rsidRDefault="00257249">
            <w:r>
              <w:t>OEE</w:t>
            </w:r>
          </w:p>
        </w:tc>
        <w:tc>
          <w:tcPr>
            <w:tcW w:w="2880" w:type="dxa"/>
          </w:tcPr>
          <w:p w14:paraId="729DD6FF" w14:textId="77777777" w:rsidR="00E11838" w:rsidRDefault="00257249">
            <w:r>
              <w:t>EBITDA Margin</w:t>
            </w:r>
          </w:p>
        </w:tc>
        <w:tc>
          <w:tcPr>
            <w:tcW w:w="2880" w:type="dxa"/>
          </w:tcPr>
          <w:p w14:paraId="2C4DF9F0" w14:textId="77777777" w:rsidR="00E11838" w:rsidRDefault="00257249">
            <w:r>
              <w:t>Migliore utilizzo impianti → riduzione costi fissi per unità prodotta → aumento margine</w:t>
            </w:r>
          </w:p>
        </w:tc>
      </w:tr>
      <w:tr w:rsidR="00E11838" w14:paraId="6442210D" w14:textId="77777777">
        <w:tc>
          <w:tcPr>
            <w:tcW w:w="2880" w:type="dxa"/>
          </w:tcPr>
          <w:p w14:paraId="56EC851E" w14:textId="77777777" w:rsidR="00E11838" w:rsidRDefault="00257249">
            <w:r>
              <w:t>MES Data Accuracy</w:t>
            </w:r>
          </w:p>
        </w:tc>
        <w:tc>
          <w:tcPr>
            <w:tcW w:w="2880" w:type="dxa"/>
          </w:tcPr>
          <w:p w14:paraId="4ABBB37A" w14:textId="77777777" w:rsidR="00E11838" w:rsidRDefault="00257249">
            <w:r>
              <w:t>CCC (Cash Conversion Cycle)</w:t>
            </w:r>
          </w:p>
        </w:tc>
        <w:tc>
          <w:tcPr>
            <w:tcW w:w="2880" w:type="dxa"/>
          </w:tcPr>
          <w:p w14:paraId="1DE13886" w14:textId="77777777" w:rsidR="00E11838" w:rsidRDefault="00257249">
            <w:r>
              <w:t>Dati affidabili → pianificazione più accurata → riduzione DIO e miglioramento ciclo di cassa</w:t>
            </w:r>
          </w:p>
        </w:tc>
      </w:tr>
    </w:tbl>
    <w:p w14:paraId="0D99D337" w14:textId="77777777" w:rsidR="00213DCA" w:rsidRDefault="00213DCA">
      <w:pPr>
        <w:pStyle w:val="Titolo1"/>
      </w:pPr>
    </w:p>
    <w:p w14:paraId="1C827CA4" w14:textId="77777777" w:rsidR="00213DCA" w:rsidRDefault="00213DCA" w:rsidP="00213DCA">
      <w:pPr>
        <w:pStyle w:val="Titolo1"/>
        <w:jc w:val="left"/>
      </w:pPr>
    </w:p>
    <w:p w14:paraId="727ADA43" w14:textId="77777777" w:rsidR="00213DCA" w:rsidRPr="00213DCA" w:rsidRDefault="00213DCA" w:rsidP="00213DCA"/>
    <w:p w14:paraId="57FAEEA6" w14:textId="3BC8AC30" w:rsidR="00E11838" w:rsidRDefault="00257249" w:rsidP="00213DCA">
      <w:pPr>
        <w:pStyle w:val="Titolo1"/>
        <w:jc w:val="left"/>
      </w:pPr>
      <w:r>
        <w:lastRenderedPageBreak/>
        <w:t>4. Conclusioni</w:t>
      </w:r>
    </w:p>
    <w:p w14:paraId="50A24AF8" w14:textId="77777777" w:rsidR="00E11838" w:rsidRDefault="00257249">
      <w:r>
        <w:t>Monitorare contemporaneamente KPI di processo e KPI finanziari consente di dimostrare in modo tangibile il ritorno dell’investimento legato alla progettazione o al miglioramento di un sistema di gestione della qualità. L’evidenza numerica crea un ponte diretto tra operations e finanza, rafforzando la governance aziendale e supportando decisioni di investimento data-driven.</w:t>
      </w:r>
    </w:p>
    <w:sectPr w:rsidR="00E1183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24F6F" w14:textId="77777777" w:rsidR="00213DCA" w:rsidRDefault="00213DCA" w:rsidP="00213DCA">
      <w:pPr>
        <w:spacing w:after="0" w:line="240" w:lineRule="auto"/>
      </w:pPr>
      <w:r>
        <w:separator/>
      </w:r>
    </w:p>
  </w:endnote>
  <w:endnote w:type="continuationSeparator" w:id="0">
    <w:p w14:paraId="316AB414" w14:textId="77777777" w:rsidR="00213DCA" w:rsidRDefault="00213DCA" w:rsidP="0021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D470F" w14:textId="77777777" w:rsidR="00213DCA" w:rsidRDefault="00213DC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257249" w14:paraId="35EB073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A38329DAB294B98887116978AF265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2E3905E" w14:textId="3202641E" w:rsidR="00257249" w:rsidRDefault="00257249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Andy </w:t>
              </w:r>
              <w:r>
                <w:rPr>
                  <w:caps/>
                  <w:color w:val="000000" w:themeColor="text1"/>
                </w:rPr>
                <w:t>cruccas</w:t>
              </w:r>
            </w:p>
          </w:sdtContent>
        </w:sdt>
      </w:tc>
      <w:tc>
        <w:tcPr>
          <w:tcW w:w="250" w:type="pct"/>
          <w:shd w:val="clear" w:color="auto" w:fill="3C9770" w:themeFill="accent2"/>
          <w:vAlign w:val="center"/>
        </w:tcPr>
        <w:p w14:paraId="3F262876" w14:textId="77777777" w:rsidR="00257249" w:rsidRDefault="00257249">
          <w:pPr>
            <w:pStyle w:val="Pidipa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it-IT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1DBC500" w14:textId="71F659E5" w:rsidR="00213DCA" w:rsidRDefault="00213DC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750C" w14:textId="77777777" w:rsidR="00213DCA" w:rsidRDefault="00213D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028A8" w14:textId="77777777" w:rsidR="00213DCA" w:rsidRDefault="00213DCA" w:rsidP="00213DCA">
      <w:pPr>
        <w:spacing w:after="0" w:line="240" w:lineRule="auto"/>
      </w:pPr>
      <w:r>
        <w:separator/>
      </w:r>
    </w:p>
  </w:footnote>
  <w:footnote w:type="continuationSeparator" w:id="0">
    <w:p w14:paraId="294D8D55" w14:textId="77777777" w:rsidR="00213DCA" w:rsidRDefault="00213DCA" w:rsidP="0021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3B4E" w14:textId="77777777" w:rsidR="00213DCA" w:rsidRDefault="00213DC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147C" w14:textId="77777777" w:rsidR="00213DCA" w:rsidRDefault="00213D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09A51" w14:textId="77777777" w:rsidR="00213DCA" w:rsidRDefault="00213D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393520">
    <w:abstractNumId w:val="8"/>
  </w:num>
  <w:num w:numId="2" w16cid:durableId="1380738225">
    <w:abstractNumId w:val="6"/>
  </w:num>
  <w:num w:numId="3" w16cid:durableId="636302442">
    <w:abstractNumId w:val="5"/>
  </w:num>
  <w:num w:numId="4" w16cid:durableId="112137786">
    <w:abstractNumId w:val="4"/>
  </w:num>
  <w:num w:numId="5" w16cid:durableId="1796559204">
    <w:abstractNumId w:val="7"/>
  </w:num>
  <w:num w:numId="6" w16cid:durableId="1071776391">
    <w:abstractNumId w:val="3"/>
  </w:num>
  <w:num w:numId="7" w16cid:durableId="152187658">
    <w:abstractNumId w:val="2"/>
  </w:num>
  <w:num w:numId="8" w16cid:durableId="1120494690">
    <w:abstractNumId w:val="1"/>
  </w:num>
  <w:num w:numId="9" w16cid:durableId="160310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DCA"/>
    <w:rsid w:val="00257249"/>
    <w:rsid w:val="0029639D"/>
    <w:rsid w:val="00326F90"/>
    <w:rsid w:val="00860A68"/>
    <w:rsid w:val="00AA1D8D"/>
    <w:rsid w:val="00B47730"/>
    <w:rsid w:val="00CB0664"/>
    <w:rsid w:val="00D83081"/>
    <w:rsid w:val="00E11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B27EBBE-5794-4E5C-979F-C2808601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3DCA"/>
  </w:style>
  <w:style w:type="paragraph" w:styleId="Titolo1">
    <w:name w:val="heading 1"/>
    <w:basedOn w:val="Normale"/>
    <w:next w:val="Normale"/>
    <w:link w:val="Titolo1Carattere"/>
    <w:uiPriority w:val="9"/>
    <w:qFormat/>
    <w:rsid w:val="00213D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3D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3D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3D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3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3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3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3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3D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213DCA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13DCA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3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3DCA"/>
    <w:rPr>
      <w:rFonts w:asciiTheme="majorHAnsi" w:eastAsiaTheme="majorEastAsia" w:hAnsiTheme="majorHAnsi" w:cstheme="majorBidi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3DCA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213DCA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3DCA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3DCA"/>
    <w:rPr>
      <w:color w:val="212121" w:themeColor="text2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3DCA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3DCA"/>
    <w:rPr>
      <w:i/>
      <w:iCs/>
      <w:color w:val="335375" w:themeColor="accent3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3D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3DC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3D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3DC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3D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3DCA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13D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213DCA"/>
    <w:rPr>
      <w:b/>
      <w:bCs/>
    </w:rPr>
  </w:style>
  <w:style w:type="character" w:styleId="Enfasicorsivo">
    <w:name w:val="Emphasis"/>
    <w:basedOn w:val="Carpredefinitoparagrafo"/>
    <w:uiPriority w:val="20"/>
    <w:qFormat/>
    <w:rsid w:val="00213DC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3D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3DCA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213DCA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13DCA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13D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13DCA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213DCA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13DCA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61721F" w:themeColor="accent1" w:themeShade="BF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2D7153" w:themeColor="accent2" w:themeShade="BF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335375" w:themeColor="accent3" w:themeShade="BF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A3591D" w:themeColor="accent5" w:themeShade="BF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B68C1F" w:themeColor="accent6" w:themeShade="BF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1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  <w:shd w:val="clear" w:color="auto" w:fill="E5EEC1" w:themeFill="accent1" w:themeFillTint="3F"/>
      </w:tcPr>
    </w:tblStylePr>
    <w:tblStylePr w:type="band2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1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  <w:shd w:val="clear" w:color="auto" w:fill="CAEADC" w:themeFill="accent2" w:themeFillTint="3F"/>
      </w:tcPr>
    </w:tblStylePr>
    <w:tblStylePr w:type="band2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1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  <w:shd w:val="clear" w:color="auto" w:fill="CDDBE9" w:themeFill="accent3" w:themeFillTint="3F"/>
      </w:tcPr>
    </w:tblStylePr>
    <w:tblStylePr w:type="band2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1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  <w:shd w:val="clear" w:color="auto" w:fill="EDC9C6" w:themeFill="accent4" w:themeFillTint="3F"/>
      </w:tcPr>
    </w:tblStylePr>
    <w:tblStylePr w:type="band2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E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A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DB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9C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D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C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992A" w:themeColor="accen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shd w:val="clear" w:color="auto" w:fill="E5EEC1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770" w:themeColor="accent2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shd w:val="clear" w:color="auto" w:fill="CAEAD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09D" w:themeColor="accent3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shd w:val="clear" w:color="auto" w:fill="CDDB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3C33" w:themeColor="accent4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shd w:val="clear" w:color="auto" w:fill="EDC9C6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7828" w:themeColor="accent5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shd w:val="clear" w:color="auto" w:fill="F5DDC9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340" w:themeColor="accent6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shd w:val="clear" w:color="auto" w:fill="F6ECCF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99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399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99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99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E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7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7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7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A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09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09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09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DB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3C3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3C3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3C3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9C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782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782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782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D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B34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3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3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C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  <w:insideV w:val="single" w:sz="8" w:space="0" w:color="B1CC45" w:themeColor="accent1" w:themeTint="BF"/>
      </w:tblBorders>
    </w:tblPr>
    <w:tcPr>
      <w:shd w:val="clear" w:color="auto" w:fill="E5EE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CC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  <w:insideV w:val="single" w:sz="8" w:space="0" w:color="5EBF95" w:themeColor="accent2" w:themeTint="BF"/>
      </w:tblBorders>
    </w:tblPr>
    <w:tcPr>
      <w:shd w:val="clear" w:color="auto" w:fill="CAEA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F9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  <w:insideV w:val="single" w:sz="8" w:space="0" w:color="6993BE" w:themeColor="accent3" w:themeTint="BF"/>
      </w:tblBorders>
    </w:tblPr>
    <w:tcPr>
      <w:shd w:val="clear" w:color="auto" w:fill="CDDB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93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  <w:insideV w:val="single" w:sz="8" w:space="0" w:color="C95E55" w:themeColor="accent4" w:themeTint="BF"/>
      </w:tblBorders>
    </w:tblPr>
    <w:tcPr>
      <w:shd w:val="clear" w:color="auto" w:fill="EDC9C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E5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  <w:insideV w:val="single" w:sz="8" w:space="0" w:color="E2995D" w:themeColor="accent5" w:themeTint="BF"/>
      </w:tblBorders>
    </w:tblPr>
    <w:tcPr>
      <w:shd w:val="clear" w:color="auto" w:fill="F5DD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99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cPr>
      <w:shd w:val="clear" w:color="auto" w:fill="E5EE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CD" w:themeFill="accent1" w:themeFillTint="33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tcBorders>
          <w:insideH w:val="single" w:sz="6" w:space="0" w:color="83992A" w:themeColor="accent1"/>
          <w:insideV w:val="single" w:sz="6" w:space="0" w:color="83992A" w:themeColor="accent1"/>
        </w:tcBorders>
        <w:shd w:val="clear" w:color="auto" w:fill="CBDD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cPr>
      <w:shd w:val="clear" w:color="auto" w:fill="CAEA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2" w:themeFill="accent2" w:themeFillTint="33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tcBorders>
          <w:insideH w:val="single" w:sz="6" w:space="0" w:color="3C9770" w:themeColor="accent2"/>
          <w:insideV w:val="single" w:sz="6" w:space="0" w:color="3C9770" w:themeColor="accent2"/>
        </w:tcBorders>
        <w:shd w:val="clear" w:color="auto" w:fill="94D4B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cPr>
      <w:shd w:val="clear" w:color="auto" w:fill="CDDB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D" w:themeFill="accent3" w:themeFillTint="33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tcBorders>
          <w:insideH w:val="single" w:sz="6" w:space="0" w:color="44709D" w:themeColor="accent3"/>
          <w:insideV w:val="single" w:sz="6" w:space="0" w:color="44709D" w:themeColor="accent3"/>
        </w:tcBorders>
        <w:shd w:val="clear" w:color="auto" w:fill="9BB7D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cPr>
      <w:shd w:val="clear" w:color="auto" w:fill="EDC9C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3D1" w:themeFill="accent4" w:themeFillTint="33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tcBorders>
          <w:insideH w:val="single" w:sz="6" w:space="0" w:color="A23C33" w:themeColor="accent4"/>
          <w:insideV w:val="single" w:sz="6" w:space="0" w:color="A23C33" w:themeColor="accent4"/>
        </w:tcBorders>
        <w:shd w:val="clear" w:color="auto" w:fill="DB94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cPr>
      <w:shd w:val="clear" w:color="auto" w:fill="F5DD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3D3" w:themeFill="accent5" w:themeFillTint="33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tcBorders>
          <w:insideH w:val="single" w:sz="6" w:space="0" w:color="D97828" w:themeColor="accent5"/>
          <w:insideV w:val="single" w:sz="6" w:space="0" w:color="D97828" w:themeColor="accent5"/>
        </w:tcBorders>
        <w:shd w:val="clear" w:color="auto" w:fill="ECBB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cPr>
      <w:shd w:val="clear" w:color="auto" w:fill="F6EC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FD8" w:themeFill="accent6" w:themeFillTint="33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tcBorders>
          <w:insideH w:val="single" w:sz="6" w:space="0" w:color="DEB340" w:themeColor="accent6"/>
          <w:insideV w:val="single" w:sz="6" w:space="0" w:color="DEB340" w:themeColor="accent6"/>
        </w:tcBorders>
        <w:shd w:val="clear" w:color="auto" w:fill="EED8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E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DD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DD8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A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4B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4B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DB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B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B7D4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9C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94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948E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D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BB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BB93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C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8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89F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992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C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721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7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B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1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09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74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537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3C3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1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2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782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3B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5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3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5D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8C1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83992A" w:themeColor="accent1"/>
        <w:bottom w:val="single" w:sz="4" w:space="0" w:color="83992A" w:themeColor="accent1"/>
        <w:right w:val="single" w:sz="4" w:space="0" w:color="83992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5B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5B19" w:themeColor="accent1" w:themeShade="99"/>
          <w:insideV w:val="nil"/>
        </w:tcBorders>
        <w:shd w:val="clear" w:color="auto" w:fill="4E5B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5B19" w:themeFill="accent1" w:themeFillShade="99"/>
      </w:tcPr>
    </w:tblStylePr>
    <w:tblStylePr w:type="band1Vert">
      <w:tblPr/>
      <w:tcPr>
        <w:shd w:val="clear" w:color="auto" w:fill="D5E39C" w:themeFill="accent1" w:themeFillTint="66"/>
      </w:tcPr>
    </w:tblStylePr>
    <w:tblStylePr w:type="band1Horz">
      <w:tblPr/>
      <w:tcPr>
        <w:shd w:val="clear" w:color="auto" w:fill="CBDD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3C9770" w:themeColor="accent2"/>
        <w:bottom w:val="single" w:sz="4" w:space="0" w:color="3C9770" w:themeColor="accent2"/>
        <w:right w:val="single" w:sz="4" w:space="0" w:color="3C97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A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A42" w:themeColor="accent2" w:themeShade="99"/>
          <w:insideV w:val="nil"/>
        </w:tcBorders>
        <w:shd w:val="clear" w:color="auto" w:fill="245A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A42" w:themeFill="accent2" w:themeFillShade="99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94D4B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3C33" w:themeColor="accent4"/>
        <w:left w:val="single" w:sz="4" w:space="0" w:color="44709D" w:themeColor="accent3"/>
        <w:bottom w:val="single" w:sz="4" w:space="0" w:color="44709D" w:themeColor="accent3"/>
        <w:right w:val="single" w:sz="4" w:space="0" w:color="44709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435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435E" w:themeColor="accent3" w:themeShade="99"/>
          <w:insideV w:val="nil"/>
        </w:tcBorders>
        <w:shd w:val="clear" w:color="auto" w:fill="28435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435E" w:themeFill="accent3" w:themeFillShade="99"/>
      </w:tcPr>
    </w:tblStylePr>
    <w:tblStylePr w:type="band1Vert">
      <w:tblPr/>
      <w:tcPr>
        <w:shd w:val="clear" w:color="auto" w:fill="AFC5DC" w:themeFill="accent3" w:themeFillTint="66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09D" w:themeColor="accent3"/>
        <w:left w:val="single" w:sz="4" w:space="0" w:color="A23C33" w:themeColor="accent4"/>
        <w:bottom w:val="single" w:sz="4" w:space="0" w:color="A23C33" w:themeColor="accent4"/>
        <w:right w:val="single" w:sz="4" w:space="0" w:color="A23C3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1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1E" w:themeColor="accent4" w:themeShade="99"/>
          <w:insideV w:val="nil"/>
        </w:tcBorders>
        <w:shd w:val="clear" w:color="auto" w:fill="61231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1E" w:themeFill="accent4" w:themeFillShade="99"/>
      </w:tcPr>
    </w:tblStylePr>
    <w:tblStylePr w:type="band1Vert">
      <w:tblPr/>
      <w:tcPr>
        <w:shd w:val="clear" w:color="auto" w:fill="E2A9A4" w:themeFill="accent4" w:themeFillTint="66"/>
      </w:tcPr>
    </w:tblStylePr>
    <w:tblStylePr w:type="band1Horz">
      <w:tblPr/>
      <w:tcPr>
        <w:shd w:val="clear" w:color="auto" w:fill="DB94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340" w:themeColor="accent6"/>
        <w:left w:val="single" w:sz="4" w:space="0" w:color="D97828" w:themeColor="accent5"/>
        <w:bottom w:val="single" w:sz="4" w:space="0" w:color="D97828" w:themeColor="accent5"/>
        <w:right w:val="single" w:sz="4" w:space="0" w:color="D9782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4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4717" w:themeColor="accent5" w:themeShade="99"/>
          <w:insideV w:val="nil"/>
        </w:tcBorders>
        <w:shd w:val="clear" w:color="auto" w:fill="824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4717" w:themeFill="accent5" w:themeFillShade="99"/>
      </w:tcPr>
    </w:tblStylePr>
    <w:tblStylePr w:type="band1Vert">
      <w:tblPr/>
      <w:tcPr>
        <w:shd w:val="clear" w:color="auto" w:fill="EFC8A8" w:themeFill="accent5" w:themeFillTint="66"/>
      </w:tcPr>
    </w:tblStylePr>
    <w:tblStylePr w:type="band1Horz">
      <w:tblPr/>
      <w:tcPr>
        <w:shd w:val="clear" w:color="auto" w:fill="ECBB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7828" w:themeColor="accent5"/>
        <w:left w:val="single" w:sz="4" w:space="0" w:color="DEB340" w:themeColor="accent6"/>
        <w:bottom w:val="single" w:sz="4" w:space="0" w:color="DEB340" w:themeColor="accent6"/>
        <w:right w:val="single" w:sz="4" w:space="0" w:color="DEB3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0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019" w:themeColor="accent6" w:themeShade="99"/>
          <w:insideV w:val="nil"/>
        </w:tcBorders>
        <w:shd w:val="clear" w:color="auto" w:fill="9270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019" w:themeFill="accent6" w:themeFillShade="99"/>
      </w:tcPr>
    </w:tblStylePr>
    <w:tblStylePr w:type="band1Vert">
      <w:tblPr/>
      <w:tcPr>
        <w:shd w:val="clear" w:color="auto" w:fill="F1E0B2" w:themeFill="accent6" w:themeFillTint="66"/>
      </w:tcPr>
    </w:tblStylePr>
    <w:tblStylePr w:type="band1Horz">
      <w:tblPr/>
      <w:tcPr>
        <w:shd w:val="clear" w:color="auto" w:fill="EED8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2F28" w:themeFill="accent4" w:themeFillShade="CC"/>
      </w:tcPr>
    </w:tblStylePr>
    <w:tblStylePr w:type="lastRow">
      <w:rPr>
        <w:b/>
        <w:bCs/>
        <w:color w:val="812F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597D" w:themeFill="accent3" w:themeFillShade="CC"/>
      </w:tcPr>
    </w:tblStylePr>
    <w:tblStylePr w:type="lastRow">
      <w:rPr>
        <w:b/>
        <w:bCs/>
        <w:color w:val="36597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621" w:themeFill="accent6" w:themeFillShade="CC"/>
      </w:tcPr>
    </w:tblStylePr>
    <w:tblStylePr w:type="lastRow">
      <w:rPr>
        <w:b/>
        <w:bCs/>
        <w:color w:val="C2962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5F1F" w:themeFill="accent5" w:themeFillShade="CC"/>
      </w:tcPr>
    </w:tblStylePr>
    <w:tblStylePr w:type="lastRow">
      <w:rPr>
        <w:b/>
        <w:bCs/>
        <w:color w:val="AE5F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CD" w:themeFill="accent1" w:themeFillTint="33"/>
    </w:tcPr>
    <w:tblStylePr w:type="firstRow">
      <w:rPr>
        <w:b/>
        <w:bCs/>
      </w:rPr>
      <w:tblPr/>
      <w:tcPr>
        <w:shd w:val="clear" w:color="auto" w:fill="D5E3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3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</w:rPr>
      <w:tblPr/>
      <w:tcPr>
        <w:shd w:val="clear" w:color="auto" w:fill="A9DDC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DC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2ED" w:themeFill="accent3" w:themeFillTint="33"/>
    </w:tcPr>
    <w:tblStylePr w:type="firstRow">
      <w:rPr>
        <w:b/>
        <w:bCs/>
      </w:rPr>
      <w:tblPr/>
      <w:tcPr>
        <w:shd w:val="clear" w:color="auto" w:fill="AFC5D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C5D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3D1" w:themeFill="accent4" w:themeFillTint="33"/>
    </w:tcPr>
    <w:tblStylePr w:type="firstRow">
      <w:rPr>
        <w:b/>
        <w:bCs/>
      </w:rPr>
      <w:tblPr/>
      <w:tcPr>
        <w:shd w:val="clear" w:color="auto" w:fill="E2A9A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9A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3D3" w:themeFill="accent5" w:themeFillTint="33"/>
    </w:tcPr>
    <w:tblStylePr w:type="firstRow">
      <w:rPr>
        <w:b/>
        <w:bCs/>
      </w:rPr>
      <w:tblPr/>
      <w:tcPr>
        <w:shd w:val="clear" w:color="auto" w:fill="EFC8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8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FD8" w:themeFill="accent6" w:themeFillTint="33"/>
    </w:tcPr>
    <w:tblStylePr w:type="firstRow">
      <w:rPr>
        <w:b/>
        <w:bCs/>
      </w:rPr>
      <w:tblPr/>
      <w:tcPr>
        <w:shd w:val="clear" w:color="auto" w:fill="F1E0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0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38329DAB294B98887116978AF265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D02F594-18FD-4E26-BF51-9A5850A6D72E}"/>
      </w:docPartPr>
      <w:docPartBody>
        <w:p w:rsidR="00591012" w:rsidRDefault="00591012" w:rsidP="00591012">
          <w:pPr>
            <w:pStyle w:val="FA38329DAB294B98887116978AF265EB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12"/>
    <w:rsid w:val="00591012"/>
    <w:rsid w:val="008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A38329DAB294B98887116978AF265EB">
    <w:name w:val="FA38329DAB294B98887116978AF265EB"/>
    <w:rsid w:val="00591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cruccas</dc:creator>
  <cp:keywords/>
  <dc:description>generated by python-docx</dc:description>
  <cp:lastModifiedBy>Virginia Greggio</cp:lastModifiedBy>
  <cp:revision>4</cp:revision>
  <dcterms:created xsi:type="dcterms:W3CDTF">2013-12-23T23:15:00Z</dcterms:created>
  <dcterms:modified xsi:type="dcterms:W3CDTF">2025-09-01T19:55:00Z</dcterms:modified>
  <cp:category/>
</cp:coreProperties>
</file>