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TECHNICAL ASSESSMENT REPORT</w:t>
      </w:r>
    </w:p>
    <w:p>
      <w:pPr>
        <w:pBdr>
          <w:bottom w:val="single" w:color="1B3A5C" w:sz="8" w:space="8"/>
        </w:pBdr>
        <w:spacing w:after="100"/>
        <w:jc w:val="center"/>
      </w:pPr>
      <w:r>
        <w:rPr>
          <w:rFonts w:ascii="Arial" w:cs="Arial" w:eastAsia="Arial" w:hAnsi="Arial"/>
          <w:color w:val="2E5984"/>
          <w:sz w:val="32"/>
          <w:szCs w:val="32"/>
        </w:rPr>
        <w:t xml:space="preserve">Prediction-Trading (PT) vs NautilusTrader (NT)</w:t>
      </w:r>
    </w:p>
    <w:p>
      <w:pPr>
        <w:spacing w:before="200" w:after="60"/>
        <w:jc w:val="center"/>
      </w:pPr>
      <w:r>
        <w:rPr>
          <w:rFonts w:ascii="Arial" w:cs="Arial" w:eastAsia="Arial" w:hAnsi="Arial"/>
          <w:color w:val="666666"/>
          <w:sz w:val="24"/>
          <w:szCs w:val="24"/>
        </w:rPr>
        <w:t xml:space="preserve">Polymarket CLOB Implementation Comparison</w:t>
      </w:r>
    </w:p>
    <w:p>
      <w:pPr>
        <w:spacing w:after="60"/>
        <w:jc w:val="center"/>
      </w:pPr>
      <w:r>
        <w:rPr>
          <w:rFonts w:ascii="Arial" w:cs="Arial" w:eastAsia="Arial" w:hAnsi="Arial"/>
          <w:color w:val="666666"/>
          <w:sz w:val="22"/>
          <w:szCs w:val="22"/>
        </w:rPr>
        <w:t xml:space="preserve">17 March 2026  —  Revision 2 (corrected from source)</w:t>
      </w:r>
    </w:p>
    <w:p>
      <w:pPr>
        <w:spacing w:after="2000"/>
        <w:jc w:val="center"/>
      </w:pPr>
      <w:r>
        <w:rPr>
          <w:rFonts w:ascii="Arial" w:cs="Arial" w:eastAsia="Arial" w:hAnsi="Arial"/>
          <w:color w:val="666666"/>
          <w:sz w:val="22"/>
          <w:szCs w:val="22"/>
        </w:rPr>
        <w:t xml:space="preserve">Prepared for: Andy Thompson</w:t>
      </w:r>
    </w:p>
    <w:p>
      <w:r>
        <w:br w:type="page"/>
      </w:r>
    </w:p>
    <w:p>
      <w:pPr>
        <w:pStyle w:val="Heading1"/>
      </w:pPr>
      <w:r>
        <w:t xml:space="preserve">Executive Summary</w:t>
      </w:r>
    </w:p>
    <w:p>
      <w:pPr>
        <w:spacing w:after="120"/>
      </w:pPr>
      <w:r>
        <w:rPr>
          <w:rFonts w:ascii="Arial" w:cs="Arial" w:eastAsia="Arial" w:hAnsi="Arial"/>
          <w:sz w:val="22"/>
          <w:szCs w:val="22"/>
        </w:rPr>
        <w:t xml:space="preserve">This report compares two fundamentally different systems targeting the Polymarket prediction market. Prediction-Trading (PT) is a vertically integrated, pure-Rust arbitrage system that autonomously discovers and exploits pricing inefficiencies across 33,000+ markets. NautilusTrader (NT) is a production-grade, multi-venue algorithmic trading platform whose Polymarket adapter normalizes prediction markets into its generalized framework.</w:t>
      </w:r>
    </w:p>
    <w:p>
      <w:pPr>
        <w:spacing w:after="120"/>
      </w:pPr>
      <w:r>
        <w:rPr>
          <w:rFonts w:ascii="Arial" w:cs="Arial" w:eastAsia="Arial" w:hAnsi="Arial"/>
          <w:sz w:val="22"/>
          <w:szCs w:val="22"/>
        </w:rPr>
        <w:t xml:space="preserve">PT is not a prototype. As of v0.12.0 (17 March 2026), it is a single compiled Rust binary with zero Python dependencies, 11 operational incidents resolved, two formal code reviews completed, and a three-tier WebSocket architecture purpose-built around Polymarket’s undocumented limits. NT’s Polymarket adapter, by contrast, is a Python layer wrapping py-clob-client, bolted onto a Rust core engine designed for traditional exchange connectivity.</w:t>
      </w:r>
    </w:p>
    <w:p>
      <w:pPr>
        <w:spacing w:after="120"/>
      </w:pPr>
      <w:r>
        <w:rPr>
          <w:rFonts w:ascii="Arial" w:cs="Arial" w:eastAsia="Arial" w:hAnsi="Arial"/>
          <w:sz w:val="22"/>
          <w:szCs w:val="22"/>
        </w:rPr>
        <w:t xml:space="preserve">The core finding: PT is a domain specialist that beats NT comprehensively at the exact job it was designed for. NT provides infrastructure that PT has independently built in Rust. A rewrite would destroy substantial value. Selective adoption of NT’s patterns — specifically execution reconciliation and multi-venue abstraction — is the only integration path worth considering, and only when PT reaches its multi-exchange phase.</w:t>
      </w:r>
    </w:p>
    <w:p>
      <w:r>
        <w:br w:type="page"/>
      </w:r>
    </w:p>
    <w:p>
      <w:pPr>
        <w:pStyle w:val="Heading1"/>
      </w:pPr>
      <w:r>
        <w:t xml:space="preserve">1. System Profiles</w:t>
      </w:r>
    </w:p>
    <w:p>
      <w:pPr>
        <w:pStyle w:val="Heading2"/>
      </w:pPr>
      <w:r>
        <w:t xml:space="preserve">1.1 Prediction-Trading (PT) — v0.12.0</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Automated detection and exploitation of pricing inefficiencies across Polymarket prediction markets using mathematical arbitrage (mutex constraint detection, Bregman projection with KL divergence, Frank-Wolfe optimization).</w:t>
      </w:r>
    </w:p>
    <w:p>
      <w:pPr>
        <w:spacing w:after="120"/>
      </w:pPr>
      <w:r>
        <w:rPr>
          <w:rFonts w:ascii="Arial" w:cs="Arial" w:eastAsia="Arial" w:hAnsi="Arial"/>
          <w:b/>
          <w:bCs/>
          <w:sz w:val="22"/>
          <w:szCs w:val="22"/>
        </w:rPr>
        <w:t xml:space="preserve">Language: </w:t>
      </w:r>
      <w:r>
        <w:rPr>
          <w:rFonts w:ascii="Arial" w:cs="Arial" w:eastAsia="Arial" w:hAnsi="Arial"/>
          <w:sz w:val="22"/>
          <w:szCs w:val="22"/>
        </w:rPr>
        <w:t xml:space="preserve">Pure Rust. Single compiled binary (rust_supervisor + rust_engine workspace). All Python removed as of v0.10.0 (15 March 2026). The system was originally Python, transitioned through PyO3 (v0.04.10–v0.05.02), and completed full Rust migration in 3 days. Zero Python runtime dependency.</w:t>
      </w:r>
    </w:p>
    <w:p>
      <w:pPr>
        <w:spacing w:after="120"/>
      </w:pPr>
      <w:r>
        <w:rPr>
          <w:rFonts w:ascii="Arial" w:cs="Arial" w:eastAsia="Arial" w:hAnsi="Arial"/>
          <w:b/>
          <w:bCs/>
          <w:sz w:val="22"/>
          <w:szCs w:val="22"/>
        </w:rPr>
        <w:t xml:space="preserve">Architecture: </w:t>
      </w:r>
      <w:r>
        <w:rPr>
          <w:rFonts w:ascii="Arial" w:cs="Arial" w:eastAsia="Arial" w:hAnsi="Arial"/>
          <w:sz w:val="22"/>
          <w:szCs w:val="22"/>
        </w:rPr>
        <w:t xml:space="preserve">Two-phase system: Market Scanner (REST, every ~10min) + Trading Engine (event-driven, 50ms synchronous tick loop). Three-tier WebSocket architecture (v0.12.0): Tier A = REST scanning, Tier B = hot constraint monitoring (5–10 long-lived connections, dynamic subscribe/unsubscribe), Tier C = open positions + global events (1 connection). Arc-wrapped shared state: BookMirror (DashMap), EvalQueue (parking_lot), PositionManager, ConstraintStore. Axum HTTP + SSE dashboard served from the binary.</w:t>
      </w:r>
    </w:p>
    <w:p>
      <w:pPr>
        <w:spacing w:after="120"/>
      </w:pPr>
      <w:r>
        <w:rPr>
          <w:rFonts w:ascii="Arial" w:cs="Arial" w:eastAsia="Arial" w:hAnsi="Arial"/>
          <w:b/>
          <w:bCs/>
          <w:sz w:val="22"/>
          <w:szCs w:val="22"/>
        </w:rPr>
        <w:t xml:space="preserve">State: </w:t>
      </w:r>
      <w:r>
        <w:rPr>
          <w:rFonts w:ascii="Arial" w:cs="Arial" w:eastAsia="Arial" w:hAnsi="Arial"/>
          <w:sz w:val="22"/>
          <w:szCs w:val="22"/>
        </w:rPr>
        <w:t xml:space="preserve">In-memory SQLite with WAL disk mirror (CachedSqliteDB pattern, deduplicated across 4 modules). State survives restarts. Periodic API resolution polling every 5 minutes as WS fallback.</w:t>
      </w:r>
    </w:p>
    <w:p>
      <w:pPr>
        <w:spacing w:after="120"/>
      </w:pPr>
      <w:r>
        <w:rPr>
          <w:rFonts w:ascii="Arial" w:cs="Arial" w:eastAsia="Arial" w:hAnsi="Arial"/>
          <w:b/>
          <w:bCs/>
          <w:sz w:val="22"/>
          <w:szCs w:val="22"/>
        </w:rPr>
        <w:t xml:space="preserve">Performance: </w:t>
      </w:r>
      <w:r>
        <w:rPr>
          <w:rFonts w:ascii="Arial" w:cs="Arial" w:eastAsia="Arial" w:hAnsi="Arial"/>
          <w:sz w:val="22"/>
          <w:szCs w:val="22"/>
        </w:rPr>
        <w:t xml:space="preserve">p50=1–5ms eval latency (full Rust pipeline: WS → book mirror → EFP queue → arb math). polytope_arb() ~181µs vs Python CVXPY ~80ms (440× speedup). Event-driven wake via Condvar (replaced 50ms unconditional sleep). Batched PositionManager locks. Async disk I/O.</w:t>
      </w:r>
    </w:p>
    <w:p>
      <w:pPr>
        <w:spacing w:after="120"/>
      </w:pPr>
      <w:r>
        <w:rPr>
          <w:rFonts w:ascii="Arial" w:cs="Arial" w:eastAsia="Arial" w:hAnsi="Arial"/>
          <w:b/>
          <w:bCs/>
          <w:sz w:val="22"/>
          <w:szCs w:val="22"/>
        </w:rPr>
        <w:t xml:space="preserve">Operational Maturity: </w:t>
      </w:r>
      <w:r>
        <w:rPr>
          <w:rFonts w:ascii="Arial" w:cs="Arial" w:eastAsia="Arial" w:hAnsi="Arial"/>
          <w:sz w:val="22"/>
          <w:szCs w:val="22"/>
        </w:rPr>
        <w:t xml:space="preserve">11 incidents documented and resolved (INC-001 through INC-011). Two formal code reviews (v0.10.1, v0.11.1) covering bugs, security, performance, and style. secrecy::SecretString for API keys. Dashboard bound to 127.0.0.1. CLI allowlist for config overrides. f64::total_cmp for NaN safety throughout.</w:t>
      </w:r>
    </w:p>
    <w:p>
      <w:pPr>
        <w:spacing w:after="120"/>
      </w:pPr>
      <w:r>
        <w:rPr>
          <w:rFonts w:ascii="Arial" w:cs="Arial" w:eastAsia="Arial" w:hAnsi="Arial"/>
          <w:b/>
          <w:bCs/>
          <w:sz w:val="22"/>
          <w:szCs w:val="22"/>
        </w:rPr>
        <w:t xml:space="preserve">Deployment: </w:t>
      </w:r>
      <w:r>
        <w:rPr>
          <w:rFonts w:ascii="Arial" w:cs="Arial" w:eastAsia="Arial" w:hAnsi="Arial"/>
          <w:sz w:val="22"/>
          <w:szCs w:val="22"/>
        </w:rPr>
        <w:t xml:space="preserve">VPS production (ZAP-Hosting, Frankfurt). systemd with MemoryMax=1500M, CPUQuota=50%. Multi-instance support (5 shadow configs with varied strategy parameters). WhatsApp notifications for entries, resolutions, and exits. Proactive exit when liquidation value &gt; 1.2× expected payout.</w:t>
      </w:r>
    </w:p>
    <w:p>
      <w:pPr>
        <w:pStyle w:val="Heading2"/>
      </w:pPr>
      <w:r>
        <w:t xml:space="preserve">1.2 NautilusTrader (NT) — Polymarket Adapter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General-purpose algorithmic trading platform. The Polymarket adapter is one of 15+ venue integrations. Design goal: normalize Polymarket into NT’s unified instrument/order/position model.</w:t>
      </w:r>
    </w:p>
    <w:p>
      <w:pPr>
        <w:spacing w:after="120"/>
      </w:pPr>
      <w:r>
        <w:rPr>
          <w:rFonts w:ascii="Arial" w:cs="Arial" w:eastAsia="Arial" w:hAnsi="Arial"/>
          <w:b/>
          <w:bCs/>
          <w:sz w:val="22"/>
          <w:szCs w:val="22"/>
        </w:rPr>
        <w:t xml:space="preserve">Language: </w:t>
      </w:r>
      <w:r>
        <w:rPr>
          <w:rFonts w:ascii="Arial" w:cs="Arial" w:eastAsia="Arial" w:hAnsi="Arial"/>
          <w:sz w:val="22"/>
          <w:szCs w:val="22"/>
        </w:rPr>
        <w:t xml:space="preserve">Rust core with Python bindings via PyO3 (migrating from Cython). The Polymarket adapter itself is written in Python, leveraging the official py-clob-client for order signing and API interaction.</w:t>
      </w:r>
    </w:p>
    <w:p>
      <w:pPr>
        <w:spacing w:after="120"/>
      </w:pPr>
      <w:r>
        <w:rPr>
          <w:rFonts w:ascii="Arial" w:cs="Arial" w:eastAsia="Arial" w:hAnsi="Arial"/>
          <w:b/>
          <w:bCs/>
          <w:sz w:val="22"/>
          <w:szCs w:val="22"/>
        </w:rPr>
        <w:t xml:space="preserve">Architecture: </w:t>
      </w:r>
      <w:r>
        <w:rPr>
          <w:rFonts w:ascii="Arial" w:cs="Arial" w:eastAsia="Arial" w:hAnsi="Arial"/>
          <w:sz w:val="22"/>
          <w:szCs w:val="22"/>
        </w:rPr>
        <w:t xml:space="preserve">Modular event-driven engine with deterministic time model. Components: PolymarketDataClient (Python), PolymarketExecutionClient (Python), PolymarketInstrumentProvider (Python), PolymarketWebSocketClient (Rust-backed base). Redis optional for state. Backtesting engine shares identical execution semantics.</w:t>
      </w:r>
    </w:p>
    <w:p>
      <w:pPr>
        <w:spacing w:after="120"/>
      </w:pPr>
      <w:r>
        <w:rPr>
          <w:rFonts w:ascii="Arial" w:cs="Arial" w:eastAsia="Arial" w:hAnsi="Arial"/>
          <w:b/>
          <w:bCs/>
          <w:sz w:val="22"/>
          <w:szCs w:val="22"/>
        </w:rPr>
        <w:t xml:space="preserve">Performance: </w:t>
      </w:r>
      <w:r>
        <w:rPr>
          <w:rFonts w:ascii="Arial" w:cs="Arial" w:eastAsia="Arial" w:hAnsi="Arial"/>
          <w:sz w:val="22"/>
          <w:szCs w:val="22"/>
        </w:rPr>
        <w:t xml:space="preserve">Sub-millisecond core engine messaging (Rust message bus). Order signing via py-clob-client is ~1 second per order (documented limitation). Polymarket-specific processing occurs in the Python adapter layer.</w:t>
      </w:r>
    </w:p>
    <w:p>
      <w:pPr>
        <w:spacing w:after="120"/>
      </w:pPr>
      <w:r>
        <w:rPr>
          <w:rFonts w:ascii="Arial" w:cs="Arial" w:eastAsia="Arial" w:hAnsi="Arial"/>
          <w:b/>
          <w:bCs/>
          <w:sz w:val="22"/>
          <w:szCs w:val="22"/>
        </w:rPr>
        <w:t xml:space="preserve">Operational Maturity: </w:t>
      </w:r>
      <w:r>
        <w:rPr>
          <w:rFonts w:ascii="Arial" w:cs="Arial" w:eastAsia="Arial" w:hAnsi="Arial"/>
          <w:sz w:val="22"/>
          <w:szCs w:val="22"/>
        </w:rPr>
        <w:t xml:space="preserve">15.7k GitHub stars. Active community bug reports on Polymarket adapter: timestamp parsing (INC equivalent to PT’s INC-008), cross-asset fill matching, FOK overfill handling, duplicate WebSocket subscriptions, position reconciliation via Gamma API. Polymarket adapter status: “stable” per integration matrix.</w:t>
      </w:r>
    </w:p>
    <w:p>
      <w:r>
        <w:br w:type="page"/>
      </w:r>
    </w:p>
    <w:p>
      <w:pPr>
        <w:pStyle w:val="Heading1"/>
      </w:pPr>
      <w:r>
        <w:t xml:space="preserve">2. Head-to-Head Comparison</w:t>
      </w:r>
    </w:p>
    <w:p>
      <w:pPr>
        <w:pStyle w:val="Heading2"/>
      </w:pPr>
      <w:r>
        <w:t xml:space="preserve">2.1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Prediction-Trading (PT)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NautilusTrader (NT)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Pure Rust. Single compiled binary. Zero Python.</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Rust core, Python Polymarket adapter + py-clob-client.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arb discovery: mutex constraints, polytope math, Frank-Wolfe, EFP prioritization.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Strategy-agnostic platform. User writes strategies. No built-in arb detection.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Market Coverage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33k+ markets scanned. Tier B: 2–3k hot assets on 5–10 connections (max 450 per conn). Dynamic subscribe/unsubscribe.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Instrument-by-instrument subscription. Max 500 per WS (default 200). Auto-sharding.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WS Architecture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3-tier: A=REST scan, B=hot constraints (long-lived, incremental deltas, hysteresis), C=positions+events. Overlap-first migration.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multi-WS with auto-sharding at configurable limit. New connections per instrument group.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Order Book</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DashMap concurrent book mirror. EFP (VWAP at trade size) as primary metric. Drift-based priority queue.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OrderBookDepth10 normalized model. Effective deltas option. Standard L2 book.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Shadow-validated. Proactive exit (liq &gt; 1.2× payout). negRisk-aware. Not yet live-traded with real capital.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live execution. Market+Limit, GTC/GTD/FOK/IOC. Reconciliation. Batch orders. ~1s signing latency.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In-memory SQLite + WAL disk mirror (CachedSqliteDB). Survives restarts. API resolution polling fallback.</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Cache with optional Redis persistence. Venue-side reconciliation on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daily loss, volatility filter, whale detection, max exposure, 80% book depth haircut, profit guards, replacement protection.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risk engine: position limits, account balance. No Polymarket-specific risk.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Backtesting</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None — structurally infeasible. PM historical data is trade-only; PT’s strategy requires live book depth (EFP). Small-capital live validation used instead.</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deterministic backtesting engine. PolymarketDataLoader for historical trades. Nanosecond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Integration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resolution date validation, postponement detection (web search tool), replacement scoring. Cached in SQLite.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AI/ML explicitly out of scope per roadmap.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Axum SSE dashboard: positions, opportunities, system metrics, closed history. Served from same binary.</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Plotly tearsheets for post-hoc analysis. No live operational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webhook (rate-limited, exponential backoff, per-event toggles).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built-in for Polymarket.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Multi-Venue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Polymarket only. Kalshi planned.</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 venues: Binance, Bybit, IB, Betfair, dYdX, Polymarket,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 Latency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p50=1–5ms (Rust pipeline). polytope: 181µs.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Sub-ms core bus. ~1s order signing. Python adapter overhead.</w:t>
            </w:r>
          </w:p>
        </w:tc>
      </w:tr>
    </w:tbl>
    <w:p>
      <w:r>
        <w:br w:type="page"/>
      </w:r>
    </w:p>
    <w:p>
      <w:pPr>
        <w:pStyle w:val="Heading1"/>
      </w:pPr>
      <w:r>
        <w:t xml:space="preserve">3. Question 1: What Does Each Do Better?</w:t>
      </w:r>
    </w:p>
    <w:p>
      <w:pPr>
        <w:pStyle w:val="Heading2"/>
      </w:pPr>
      <w:r>
        <w:t xml:space="preserve">3.1 Where PT Dominates</w:t>
      </w:r>
    </w:p>
    <w:p>
      <w:pPr>
        <w:pStyle w:val="Heading3"/>
      </w:pPr>
      <w:r>
        <w:t xml:space="preserve">Autonomous Arbitrage Intelligence</w:t>
      </w:r>
    </w:p>
    <w:p>
      <w:pPr>
        <w:spacing w:after="120"/>
      </w:pPr>
      <w:r>
        <w:rPr>
          <w:rFonts w:ascii="Arial" w:cs="Arial" w:eastAsia="Arial" w:hAnsi="Arial"/>
          <w:sz w:val="22"/>
          <w:szCs w:val="22"/>
        </w:rPr>
        <w:t xml:space="preserve">PT’s core capability — autonomous discovery and exploitation of pricing inefficiencies across mutually exclusive outcomes in 33,000+ markets — is something NT does not attempt and cannot replicate without building the equivalent of PT from scratch inside a Strategy class. PT detects constraint groups, runs Bregman/Frank-Wolfe optimization with mutex completeness guards, and ranks opportunities by profit_pct / effective_hours with P95 resolution delay tables derived from 512,894 resolved markets. This is 4+ months of focused domain engineering.</w:t>
      </w:r>
    </w:p>
    <w:p>
      <w:pPr>
        <w:pStyle w:val="Heading3"/>
      </w:pPr>
      <w:r>
        <w:t xml:space="preserve">Pure Rust, Zero Python</w:t>
      </w:r>
    </w:p>
    <w:p>
      <w:pPr>
        <w:spacing w:after="120"/>
      </w:pPr>
      <w:r>
        <w:rPr>
          <w:rFonts w:ascii="Arial" w:cs="Arial" w:eastAsia="Arial" w:hAnsi="Arial"/>
          <w:sz w:val="22"/>
          <w:szCs w:val="22"/>
        </w:rPr>
        <w:t xml:space="preserve">PT completed its Python-to-Rust migration on 15 March 2026 (v0.10.0). It is a single compiled binary: no Python interpreter, no venv, no pip, no GIL. NT’s Polymarket adapter, by contrast, runs entirely in Python with the py-clob-client dependency. This creates a fundamental performance inversion: the specialist system (PT) is faster at the venue-specific layer than the generalist platform (NT), despite NT having a Rust core. PT’s eval pipeline runs at 1–5ms p50; NT’s order signing alone takes ~1 second.</w:t>
      </w:r>
    </w:p>
    <w:p>
      <w:pPr>
        <w:pStyle w:val="Heading3"/>
      </w:pPr>
      <w:r>
        <w:t xml:space="preserve">Three-Tier WebSocket Architecture</w:t>
      </w:r>
    </w:p>
    <w:p>
      <w:pPr>
        <w:spacing w:after="120"/>
      </w:pPr>
      <w:r>
        <w:rPr>
          <w:rFonts w:ascii="Arial" w:cs="Arial" w:eastAsia="Arial" w:hAnsi="Arial"/>
          <w:sz w:val="22"/>
          <w:szCs w:val="22"/>
        </w:rPr>
        <w:t xml:space="preserve">PT’s v0.12.0 tiered WS system (designed today, 17 March 2026) is purpose-built around Polymarket’s undocumented limits: 500 subscriptions per connection and ~20–30 concurrent connections per IP. Tier B uses long-lived connections with dynamic subscribe/unsubscribe (no reconnection needed), hysteresis on removal (3 cold scans before unsubscribe), and hourly consolidation. Asset migration uses overlap-first protocol (subscribe destination before unsubscribing source). NT’s approach is simpler: flat auto-sharding with new connections per instrument group, capped at a configurable limit.</w:t>
      </w:r>
    </w:p>
    <w:p>
      <w:pPr>
        <w:pStyle w:val="Heading3"/>
      </w:pPr>
      <w:r>
        <w:t xml:space="preserve">Resolution Intelligence and Incident-Driven Hardening</w:t>
      </w:r>
    </w:p>
    <w:p>
      <w:pPr>
        <w:spacing w:after="120"/>
      </w:pPr>
      <w:r>
        <w:rPr>
          <w:rFonts w:ascii="Arial" w:cs="Arial" w:eastAsia="Arial" w:hAnsi="Arial"/>
          <w:sz w:val="22"/>
          <w:szCs w:val="22"/>
        </w:rPr>
        <w:t xml:space="preserve">PT has resolved 11 operational incidents, each producing specific guards: INC-001 (incomplete mutex) led to full pagination and polytope completeness guards. INC-002 (phantom profit) eliminated time-based expiry entirely. INC-006 (Argentine football postponement) created AI-powered postponement detection with web search. INC-008 (double-serialized JSON) added proper outcomePrices parsing and UMA oracle status checking. INC-011 (WS connection leak) produced the tiered architecture. This is not abstract architecture; it is battle-tested operational code shaped by real failures.</w:t>
      </w:r>
    </w:p>
    <w:p>
      <w:pPr>
        <w:pStyle w:val="Heading2"/>
      </w:pPr>
      <w:r>
        <w:t xml:space="preserve">3.2 Where NT Dominates</w:t>
      </w:r>
    </w:p>
    <w:p>
      <w:pPr>
        <w:pStyle w:val="Heading3"/>
      </w:pPr>
      <w:r>
        <w:t xml:space="preserve">Live Execution Track Record</w:t>
      </w:r>
    </w:p>
    <w:p>
      <w:pPr>
        <w:spacing w:after="120"/>
      </w:pPr>
      <w:r>
        <w:rPr>
          <w:rFonts w:ascii="Arial" w:cs="Arial" w:eastAsia="Arial" w:hAnsi="Arial"/>
          <w:sz w:val="22"/>
          <w:szCs w:val="22"/>
        </w:rPr>
        <w:t xml:space="preserve">NT’s Polymarket execution client has been used with real capital by real users. It has solved problems PT will face imminently: timestamp parsing edge cases, cross-asset fill matching (where a YES fill on one outcome produces a corresponding NO fill on the complementary outcome), FOK order overfill handling, and position reconciliation against Polymarket’s contract balances via the Gamma API. PT’s execution layer is shadow-validated but has not yet processed a live fill. This is PT’s most significant remaining gap.</w:t>
      </w:r>
    </w:p>
    <w:p>
      <w:pPr>
        <w:pStyle w:val="Heading3"/>
      </w:pPr>
      <w:r>
        <w:t xml:space="preserve">Multi-Venue Architecture</w:t>
      </w:r>
    </w:p>
    <w:p>
      <w:pPr>
        <w:spacing w:after="120"/>
      </w:pPr>
      <w:r>
        <w:rPr>
          <w:rFonts w:ascii="Arial" w:cs="Arial" w:eastAsia="Arial" w:hAnsi="Arial"/>
          <w:sz w:val="22"/>
          <w:szCs w:val="22"/>
        </w:rPr>
        <w:t xml:space="preserve">NT’s adapter pattern provides unified instrument/order/position models across 15+ venues. When PT reaches its multi-exchange phase (Kalshi), NT’s abstraction layer represents a design template worth studying. Cross-venue arbitrage (Polymarket vs Kalshi on the same question) would benefit from NT’s normalized instrument IDs and position netting. PT would need to build cross-venue abstraction from scratch.</w:t>
      </w:r>
    </w:p>
    <w:p>
      <w:pPr>
        <w:pStyle w:val="Heading3"/>
      </w:pPr>
      <w:r>
        <w:t xml:space="preserve">Type-Safe Domain Model</w:t>
      </w:r>
    </w:p>
    <w:p>
      <w:pPr>
        <w:spacing w:after="120"/>
      </w:pPr>
      <w:r>
        <w:rPr>
          <w:rFonts w:ascii="Arial" w:cs="Arial" w:eastAsia="Arial" w:hAnsi="Arial"/>
          <w:sz w:val="22"/>
          <w:szCs w:val="22"/>
        </w:rPr>
        <w:t xml:space="preserve">NT’s BinaryOption instrument type encodes tick size precision hierarchies, settlement currency (USDC.e PoS), and negRisk metadata in a formally specified type. PT parses market data from raw JSON into Rust structs, but the instrument model is less rigidly specified. NT’s approach prevents a class of precision bugs that PT has encountered (and fixed) empirically.</w:t>
      </w:r>
    </w:p>
    <w:p>
      <w:pPr>
        <w:pStyle w:val="Heading3"/>
      </w:pPr>
      <w:r>
        <w:t xml:space="preserve">Order Lifecycle Completeness</w:t>
      </w:r>
    </w:p>
    <w:p>
      <w:pPr>
        <w:spacing w:after="120"/>
      </w:pPr>
      <w:r>
        <w:rPr>
          <w:rFonts w:ascii="Arial" w:cs="Arial" w:eastAsia="Arial" w:hAnsi="Arial"/>
          <w:sz w:val="22"/>
          <w:szCs w:val="22"/>
        </w:rPr>
        <w:t xml:space="preserve">NT models the full order lifecycle: submission → acknowledgment → fill/partial fill → cancellation → reconciliation. It tracks trade statuses through Polymarket’s MATCHED → MINED → CONFIRMED → RETRYING → FAILED pipeline. PT’s shadow mode validates against the CLOB but does not yet implement this full lifecycle for live execution.</w:t>
      </w:r>
    </w:p>
    <w:p>
      <w:r>
        <w:br w:type="page"/>
      </w:r>
    </w:p>
    <w:p>
      <w:pPr>
        <w:pStyle w:val="Heading1"/>
      </w:pPr>
      <w:r>
        <w:t xml:space="preserve">4. Question 2: What Can Each Learn From the Other?</w:t>
      </w:r>
    </w:p>
    <w:p>
      <w:pPr>
        <w:pStyle w:val="Heading2"/>
      </w:pPr>
      <w:r>
        <w:t xml:space="preserve">4.1 What PT Can Learn From NT</w:t>
      </w:r>
    </w:p>
    <w:p>
      <w:pPr>
        <w:pStyle w:val="ListParagraph"/>
        <w:numPr>
          <w:ilvl w:val="0"/>
          <w:numId w:val="2"/>
        </w:numPr>
        <w:spacing w:after="60"/>
      </w:pPr>
      <w:r>
        <w:rPr>
          <w:rFonts w:ascii="Arial" w:cs="Arial" w:eastAsia="Arial" w:hAnsi="Arial"/>
          <w:b/>
          <w:bCs/>
          <w:sz w:val="22"/>
          <w:szCs w:val="22"/>
        </w:rPr>
        <w:t xml:space="preserve">Execution client patterns for Go Live: </w:t>
      </w:r>
      <w:r>
        <w:rPr>
          <w:rFonts w:ascii="Arial" w:cs="Arial" w:eastAsia="Arial" w:hAnsi="Arial"/>
          <w:sz w:val="22"/>
          <w:szCs w:val="22"/>
        </w:rPr>
        <w:t xml:space="preserve">NT’s PolymarketExecutionClient has solved specific problems PT will hit: cross-asset fill matching (PR #3345), timestamp parsing inconsistencies (#3273), FOK overfill handling (#3221), and venue-side reconciliation. Study the source before building PT’s live executor.</w:t>
      </w:r>
    </w:p>
    <w:p>
      <w:pPr>
        <w:pStyle w:val="ListParagraph"/>
        <w:numPr>
          <w:ilvl w:val="0"/>
          <w:numId w:val="2"/>
        </w:numPr>
        <w:spacing w:after="60"/>
      </w:pPr>
      <w:r>
        <w:rPr>
          <w:rFonts w:ascii="Arial" w:cs="Arial" w:eastAsia="Arial" w:hAnsi="Arial"/>
          <w:b/>
          <w:bCs/>
          <w:sz w:val="22"/>
          <w:szCs w:val="22"/>
        </w:rPr>
        <w:t xml:space="preserve">Rate limiting discipline: </w:t>
      </w:r>
      <w:r>
        <w:rPr>
          <w:rFonts w:ascii="Arial" w:cs="Arial" w:eastAsia="Arial" w:hAnsi="Arial"/>
          <w:sz w:val="22"/>
          <w:szCs w:val="22"/>
        </w:rPr>
        <w:t xml:space="preserve">NT documents and respects Polymarket’s rate limits (100 req/min public, 300/min auth, 60 orders/min). PT’s Tier A scanner runs every ~10min which is fine, but the execution path needs explicit rate limiting before live trading.</w:t>
      </w:r>
    </w:p>
    <w:p>
      <w:pPr>
        <w:pStyle w:val="ListParagraph"/>
        <w:numPr>
          <w:ilvl w:val="0"/>
          <w:numId w:val="2"/>
        </w:numPr>
        <w:spacing w:after="60"/>
      </w:pPr>
      <w:r>
        <w:rPr>
          <w:rFonts w:ascii="Arial" w:cs="Arial" w:eastAsia="Arial" w:hAnsi="Arial"/>
          <w:b/>
          <w:bCs/>
          <w:sz w:val="22"/>
          <w:szCs w:val="22"/>
        </w:rPr>
        <w:t xml:space="preserve">Formal instrument model: </w:t>
      </w:r>
      <w:r>
        <w:rPr>
          <w:rFonts w:ascii="Arial" w:cs="Arial" w:eastAsia="Arial" w:hAnsi="Arial"/>
          <w:sz w:val="22"/>
          <w:szCs w:val="22"/>
        </w:rPr>
        <w:t xml:space="preserve">NT’s BinaryOption with tick_size precision hierarchy and ROUNDING_CONFIG prevents decimal errors. PT should encode tick size rules in its Rust instrument struct rather than relying on raw API values.</w:t>
      </w:r>
    </w:p>
    <w:p>
      <w:pPr>
        <w:pStyle w:val="ListParagraph"/>
        <w:numPr>
          <w:ilvl w:val="0"/>
          <w:numId w:val="2"/>
        </w:numPr>
        <w:spacing w:after="60"/>
      </w:pPr>
      <w:r>
        <w:rPr>
          <w:rFonts w:ascii="Arial" w:cs="Arial" w:eastAsia="Arial" w:hAnsi="Arial"/>
          <w:b/>
          <w:bCs/>
          <w:sz w:val="22"/>
          <w:szCs w:val="22"/>
        </w:rPr>
        <w:t xml:space="preserve">Batch order support: </w:t>
      </w:r>
      <w:r>
        <w:rPr>
          <w:rFonts w:ascii="Arial" w:cs="Arial" w:eastAsia="Arial" w:hAnsi="Arial"/>
          <w:sz w:val="22"/>
          <w:szCs w:val="22"/>
        </w:rPr>
        <w:t xml:space="preserve">NT added Polymarket batch order support (v1.223.0, PR #3506). When PT goes live with multiple legs, batch submission reduces latency and race conditions on multi-leg arb entry.</w:t>
      </w:r>
    </w:p>
    <w:p>
      <w:pPr>
        <w:pStyle w:val="Heading2"/>
      </w:pPr>
      <w:r>
        <w:t xml:space="preserve">4.2 What NT Can Learn From PT</w:t>
      </w:r>
    </w:p>
    <w:p>
      <w:pPr>
        <w:pStyle w:val="ListParagraph"/>
        <w:numPr>
          <w:ilvl w:val="0"/>
          <w:numId w:val="2"/>
        </w:numPr>
        <w:spacing w:after="60"/>
      </w:pPr>
      <w:r>
        <w:rPr>
          <w:rFonts w:ascii="Arial" w:cs="Arial" w:eastAsia="Arial" w:hAnsi="Arial"/>
          <w:b/>
          <w:bCs/>
          <w:sz w:val="22"/>
          <w:szCs w:val="22"/>
        </w:rPr>
        <w:t xml:space="preserve">Prediction market intelligence: </w:t>
      </w:r>
      <w:r>
        <w:rPr>
          <w:rFonts w:ascii="Arial" w:cs="Arial" w:eastAsia="Arial" w:hAnsi="Arial"/>
          <w:sz w:val="22"/>
          <w:szCs w:val="22"/>
        </w:rPr>
        <w:t xml:space="preserve">NT treats Polymarket as another exchange. It has no concept of mutually exclusive outcomes, constraint groups, or the mathematical structure that makes prediction markets exploitable. A prediction-market strategy module — even as an example — would differentiate NT in a growing market.</w:t>
      </w:r>
    </w:p>
    <w:p>
      <w:pPr>
        <w:pStyle w:val="ListParagraph"/>
        <w:numPr>
          <w:ilvl w:val="0"/>
          <w:numId w:val="2"/>
        </w:numPr>
        <w:spacing w:after="60"/>
      </w:pPr>
      <w:r>
        <w:rPr>
          <w:rFonts w:ascii="Arial" w:cs="Arial" w:eastAsia="Arial" w:hAnsi="Arial"/>
          <w:b/>
          <w:bCs/>
          <w:sz w:val="22"/>
          <w:szCs w:val="22"/>
        </w:rPr>
        <w:t xml:space="preserve">Three-tier WS architecture: </w:t>
      </w:r>
      <w:r>
        <w:rPr>
          <w:rFonts w:ascii="Arial" w:cs="Arial" w:eastAsia="Arial" w:hAnsi="Arial"/>
          <w:sz w:val="22"/>
          <w:szCs w:val="22"/>
        </w:rPr>
        <w:t xml:space="preserve">PT’s tiered approach (REST scan → hot constraint monitoring → position tracking) is more efficient than flat sharding for venues with subscription limits. This pattern generalises to any venue with per-connection caps.</w:t>
      </w:r>
    </w:p>
    <w:p>
      <w:pPr>
        <w:pStyle w:val="ListParagraph"/>
        <w:numPr>
          <w:ilvl w:val="0"/>
          <w:numId w:val="2"/>
        </w:numPr>
        <w:spacing w:after="60"/>
      </w:pPr>
      <w:r>
        <w:rPr>
          <w:rFonts w:ascii="Arial" w:cs="Arial" w:eastAsia="Arial" w:hAnsi="Arial"/>
          <w:b/>
          <w:bCs/>
          <w:sz w:val="22"/>
          <w:szCs w:val="22"/>
        </w:rPr>
        <w:t xml:space="preserve">AI-powered data validation: </w:t>
      </w:r>
      <w:r>
        <w:rPr>
          <w:rFonts w:ascii="Arial" w:cs="Arial" w:eastAsia="Arial" w:hAnsi="Arial"/>
          <w:sz w:val="22"/>
          <w:szCs w:val="22"/>
        </w:rPr>
        <w:t xml:space="preserve">PT’s use of Anthropic API to validate resolution dates and detect postponed events (with web search tool integration) is a novel approach. NT’s instrument provider trusts venue metadata; PT has learned (INC-002, INC-006) that venue metadata is frequently wrong.</w:t>
      </w:r>
    </w:p>
    <w:p>
      <w:pPr>
        <w:pStyle w:val="ListParagraph"/>
        <w:numPr>
          <w:ilvl w:val="0"/>
          <w:numId w:val="2"/>
        </w:numPr>
        <w:spacing w:after="60"/>
      </w:pPr>
      <w:r>
        <w:rPr>
          <w:rFonts w:ascii="Arial" w:cs="Arial" w:eastAsia="Arial" w:hAnsi="Arial"/>
          <w:b/>
          <w:bCs/>
          <w:sz w:val="22"/>
          <w:szCs w:val="22"/>
        </w:rPr>
        <w:t xml:space="preserve">EFP as a book metric: </w:t>
      </w:r>
      <w:r>
        <w:rPr>
          <w:rFonts w:ascii="Arial" w:cs="Arial" w:eastAsia="Arial" w:hAnsi="Arial"/>
          <w:sz w:val="22"/>
          <w:szCs w:val="22"/>
        </w:rPr>
        <w:t xml:space="preserve">Effective Fill Price — VWAP at a specific trade size — collapses price and depth into a single actionable number. This is broadly useful for any thin-book venue. NT’s order book model could adopt this as a derived metric.</w:t>
      </w:r>
    </w:p>
    <w:p>
      <w:pPr>
        <w:pStyle w:val="ListParagraph"/>
        <w:numPr>
          <w:ilvl w:val="0"/>
          <w:numId w:val="2"/>
        </w:numPr>
        <w:spacing w:after="60"/>
      </w:pPr>
      <w:r>
        <w:rPr>
          <w:rFonts w:ascii="Arial" w:cs="Arial" w:eastAsia="Arial" w:hAnsi="Arial"/>
          <w:b/>
          <w:bCs/>
          <w:sz w:val="22"/>
          <w:szCs w:val="22"/>
        </w:rPr>
        <w:t xml:space="preserve">Operational dashboard: </w:t>
      </w:r>
      <w:r>
        <w:rPr>
          <w:rFonts w:ascii="Arial" w:cs="Arial" w:eastAsia="Arial" w:hAnsi="Arial"/>
          <w:sz w:val="22"/>
          <w:szCs w:val="22"/>
        </w:rPr>
        <w:t xml:space="preserve">PT’s Axum SSE dashboard with live positions, opportunities, queue depth, and system metrics is operationally superior to NT’s post-hoc Plotly tearsheets.</w:t>
      </w:r>
    </w:p>
    <w:p>
      <w:pPr>
        <w:pStyle w:val="ListParagraph"/>
        <w:numPr>
          <w:ilvl w:val="0"/>
          <w:numId w:val="2"/>
        </w:numPr>
        <w:spacing w:after="60"/>
      </w:pPr>
      <w:r>
        <w:rPr>
          <w:rFonts w:ascii="Arial" w:cs="Arial" w:eastAsia="Arial" w:hAnsi="Arial"/>
          <w:b/>
          <w:bCs/>
          <w:sz w:val="22"/>
          <w:szCs w:val="22"/>
        </w:rPr>
        <w:t xml:space="preserve">CachedSqliteDB pattern: </w:t>
      </w:r>
      <w:r>
        <w:rPr>
          <w:rFonts w:ascii="Arial" w:cs="Arial" w:eastAsia="Arial" w:hAnsi="Arial"/>
          <w:sz w:val="22"/>
          <w:szCs w:val="22"/>
        </w:rPr>
        <w:t xml:space="preserve">PT’s generic in-memory SQLite with periodic disk backup (deduplicated across 4 modules) is a clean pattern for high-frequency state that must survive restarts without blocking the hot path.</w:t>
      </w:r>
    </w:p>
    <w:p>
      <w:r>
        <w:br w:type="page"/>
      </w:r>
    </w:p>
    <w:p>
      <w:pPr>
        <w:pStyle w:val="Heading1"/>
      </w:pPr>
      <w:r>
        <w:t xml:space="preserve">5. Question 3: Is It Worth Rewriting PT Using NT’s Code?</w:t>
      </w:r>
    </w:p>
    <w:p>
      <w:pPr>
        <w:pStyle w:val="Heading2"/>
      </w:pPr>
      <w:r>
        <w:t xml:space="preserve">5.1 The Answer: No.</w:t>
      </w:r>
    </w:p>
    <w:p>
      <w:pPr>
        <w:spacing w:after="120"/>
      </w:pPr>
      <w:r>
        <w:rPr>
          <w:rFonts w:ascii="Arial" w:cs="Arial" w:eastAsia="Arial" w:hAnsi="Arial"/>
          <w:sz w:val="22"/>
          <w:szCs w:val="22"/>
        </w:rPr>
        <w:t xml:space="preserve">The case against a rewrite is stronger than the first revision of this report stated, because PT is further ahead than initially assessed:</w:t>
      </w:r>
    </w:p>
    <w:p>
      <w:pPr>
        <w:pStyle w:val="Heading3"/>
      </w:pPr>
      <w:r>
        <w:t xml:space="preserve">PT is already pure Rust. NT’s Polymarket adapter is Python.</w:t>
      </w:r>
    </w:p>
    <w:p>
      <w:pPr>
        <w:spacing w:after="120"/>
      </w:pPr>
      <w:r>
        <w:rPr>
          <w:rFonts w:ascii="Arial" w:cs="Arial" w:eastAsia="Arial" w:hAnsi="Arial"/>
          <w:sz w:val="22"/>
          <w:szCs w:val="22"/>
        </w:rPr>
        <w:t xml:space="preserve">The performance argument for NT is inverted. PT completed its Python → Rust migration 3 days ago. Its entire pipeline — WS ingestion, book mirroring, EFP computation, arb math, position management, state persistence, dashboard — runs in a single compiled binary. NT’s Polymarket adapter routes through Python and py-clob-client. Adopting NT would mean moving from Rust back to Python for the venue-specific layer. This is a regression.</w:t>
      </w:r>
    </w:p>
    <w:p>
      <w:pPr>
        <w:pStyle w:val="Heading3"/>
      </w:pPr>
      <w:r>
        <w:t xml:space="preserve">Backtesting is not a gap; it is structurally infeasible for this strategy.</w:t>
      </w:r>
    </w:p>
    <w:p>
      <w:pPr>
        <w:spacing w:after="120"/>
      </w:pPr>
      <w:r>
        <w:rPr>
          <w:rFonts w:ascii="Arial" w:cs="Arial" w:eastAsia="Arial" w:hAnsi="Arial"/>
          <w:sz w:val="22"/>
          <w:szCs w:val="22"/>
        </w:rPr>
        <w:t xml:space="preserve">PT’s arb strategy depends on Effective Fill Price — the VWAP at a specific trade size against the live order book. Polymarket’s historical data provides only trade records, not book depth snapshots. Without book depth, backtesting produces meaningless results: it would tell you that arb opportunities existed (prices summed to less than 1.0) but not whether the book could absorb multi-leg execution at the required size. The correct validation approach is exactly what PT is doing: shadow mode with real book data, followed by small live capital, then scaling. NT’s backtesting engine, while excellent for trade-data-driven strategies (EMA crosses, momentum), adds no value for book-depth-dependent arb.</w:t>
      </w:r>
    </w:p>
    <w:p>
      <w:pPr>
        <w:pStyle w:val="Heading3"/>
      </w:pPr>
      <w:r>
        <w:t xml:space="preserve">The domain logic has no NT equivalent.</w:t>
      </w:r>
    </w:p>
    <w:p>
      <w:pPr>
        <w:spacing w:after="120"/>
      </w:pPr>
      <w:r>
        <w:rPr>
          <w:rFonts w:ascii="Arial" w:cs="Arial" w:eastAsia="Arial" w:hAnsi="Arial"/>
          <w:sz w:val="22"/>
          <w:szCs w:val="22"/>
        </w:rPr>
        <w:t xml:space="preserve">Constraint detection across 33,000+ markets. Mutex completeness guards. Frank-Wolfe optimization with Bregman projection. EFP-based priority queuing. AI resolution validation with postponement detection. Replacement chain scoring by capital velocity. Proactive exit at 1.2× liquidation value. Three-tier WS with hysteresis and overlap-first migration. None of this maps to NT’s Strategy/Actor model without building PT from scratch inside NT’s framework.</w:t>
      </w:r>
    </w:p>
    <w:p>
      <w:pPr>
        <w:pStyle w:val="Heading3"/>
      </w:pPr>
      <w:r>
        <w:t xml:space="preserve">The rewrite cost is catastrophic relative to benefit.</w:t>
      </w:r>
    </w:p>
    <w:p>
      <w:pPr>
        <w:spacing w:after="120"/>
      </w:pPr>
      <w:r>
        <w:rPr>
          <w:rFonts w:ascii="Arial" w:cs="Arial" w:eastAsia="Arial" w:hAnsi="Arial"/>
          <w:sz w:val="22"/>
          <w:szCs w:val="22"/>
        </w:rPr>
        <w:t xml:space="preserve">PT went from v0.01.00 (17 Feb) to v0.12.0 (17 Mar) in 28 days, resolving 11 incidents and completing two code reviews. A rewrite onto NT would freeze this velocity for 3–6 months (optimistic), during which the system cannot be traded, incidents cannot produce hardening, and the competitive advantage of early deployment is lost.</w:t>
      </w:r>
    </w:p>
    <w:p>
      <w:pPr>
        <w:pStyle w:val="Heading2"/>
      </w:pPr>
      <w:r>
        <w:t xml:space="preserve">5.2 The Recommended Path</w:t>
      </w:r>
    </w:p>
    <w:p>
      <w:pPr>
        <w:spacing w:after="120"/>
      </w:pPr>
      <w:r>
        <w:rPr>
          <w:rFonts w:ascii="Arial" w:cs="Arial" w:eastAsia="Arial" w:hAnsi="Arial"/>
          <w:sz w:val="22"/>
          <w:szCs w:val="22"/>
        </w:rPr>
        <w:t xml:space="preserve">Selective adoption at the right moments in PT’s roadmap:</w:t>
      </w:r>
    </w:p>
    <w:p>
      <w:pPr>
        <w:pStyle w:val="ListParagraph"/>
        <w:numPr>
          <w:ilvl w:val="0"/>
          <w:numId w:val="3"/>
        </w:numPr>
        <w:spacing w:after="100"/>
      </w:pPr>
      <w:r>
        <w:rPr>
          <w:rFonts w:ascii="Arial" w:cs="Arial" w:eastAsia="Arial" w:hAnsi="Arial"/>
          <w:b/>
          <w:bCs/>
          <w:sz w:val="22"/>
          <w:szCs w:val="22"/>
        </w:rPr>
        <w:t xml:space="preserve">For Go Live (imminent): </w:t>
      </w:r>
      <w:r>
        <w:rPr>
          <w:rFonts w:ascii="Arial" w:cs="Arial" w:eastAsia="Arial" w:hAnsi="Arial"/>
          <w:sz w:val="22"/>
          <w:szCs w:val="22"/>
        </w:rPr>
        <w:t xml:space="preserve">Read NT’s PolymarketExecutionClient source. Adopt its patterns for cross-asset fill matching, timestamp normalization, and FOK overfill handling. Do not adopt the code; adopt the knowledge of what edge cases exist. Also implement venue-side reconciliation on startup (NT’s generate_order_status_reports pattern).</w:t>
      </w:r>
    </w:p>
    <w:p>
      <w:pPr>
        <w:pStyle w:val="ListParagraph"/>
        <w:numPr>
          <w:ilvl w:val="0"/>
          <w:numId w:val="3"/>
        </w:numPr>
        <w:spacing w:after="100"/>
      </w:pPr>
      <w:r>
        <w:rPr>
          <w:rFonts w:ascii="Arial" w:cs="Arial" w:eastAsia="Arial" w:hAnsi="Arial"/>
          <w:b/>
          <w:bCs/>
          <w:sz w:val="22"/>
          <w:szCs w:val="22"/>
        </w:rPr>
        <w:t xml:space="preserve">For rate limiting (imminent): </w:t>
      </w:r>
      <w:r>
        <w:rPr>
          <w:rFonts w:ascii="Arial" w:cs="Arial" w:eastAsia="Arial" w:hAnsi="Arial"/>
          <w:sz w:val="22"/>
          <w:szCs w:val="22"/>
        </w:rPr>
        <w:t xml:space="preserve">Implement rate limiting on the execution path matching Polymarket’s documented limits: 60 orders/min for trading endpoints, 3,000 requests per 10-minute window. PT’s Tier A scanner already respects implicit rate limits; the execution path needs explicit ones.</w:t>
      </w:r>
    </w:p>
    <w:p>
      <w:pPr>
        <w:pStyle w:val="ListParagraph"/>
        <w:numPr>
          <w:ilvl w:val="0"/>
          <w:numId w:val="3"/>
        </w:numPr>
        <w:spacing w:after="100"/>
      </w:pPr>
      <w:r>
        <w:rPr>
          <w:rFonts w:ascii="Arial" w:cs="Arial" w:eastAsia="Arial" w:hAnsi="Arial"/>
          <w:b/>
          <w:bCs/>
          <w:sz w:val="22"/>
          <w:szCs w:val="22"/>
        </w:rPr>
        <w:t xml:space="preserve">For instrument model (near-term): </w:t>
      </w:r>
      <w:r>
        <w:rPr>
          <w:rFonts w:ascii="Arial" w:cs="Arial" w:eastAsia="Arial" w:hAnsi="Arial"/>
          <w:sz w:val="22"/>
          <w:szCs w:val="22"/>
        </w:rPr>
        <w:t xml:space="preserve">Formalize PT’s market data into a typed Rust struct mirroring NT’s BinaryOption precision: tick_size, price_increment, size_increment, min/max order sizes. Encode the ROUNDING_CONFIG rules from py-clob-client.</w:t>
      </w:r>
    </w:p>
    <w:p>
      <w:pPr>
        <w:pStyle w:val="ListParagraph"/>
        <w:numPr>
          <w:ilvl w:val="0"/>
          <w:numId w:val="3"/>
        </w:numPr>
        <w:spacing w:after="100"/>
      </w:pPr>
      <w:r>
        <w:rPr>
          <w:rFonts w:ascii="Arial" w:cs="Arial" w:eastAsia="Arial" w:hAnsi="Arial"/>
          <w:b/>
          <w:bCs/>
          <w:sz w:val="22"/>
          <w:szCs w:val="22"/>
        </w:rPr>
        <w:t xml:space="preserve">For multi-venue (when Kalshi arrives): </w:t>
      </w:r>
      <w:r>
        <w:rPr>
          <w:rFonts w:ascii="Arial" w:cs="Arial" w:eastAsia="Arial" w:hAnsi="Arial"/>
          <w:sz w:val="22"/>
          <w:szCs w:val="22"/>
        </w:rPr>
        <w:t xml:space="preserve">Study NT’s adapter pattern for the abstraction layer. Consider using NT’s Kalshi adapter for data/execution while keeping PT’s arb engine as the decision-maker. This hybrid approach gives multi-venue reach without sacrificing the specialized hot path.</w:t>
      </w:r>
    </w:p>
    <w:p>
      <w:r>
        <w:br w:type="page"/>
      </w:r>
    </w:p>
    <w:p>
      <w:pPr>
        <w:pStyle w:val="Heading1"/>
      </w:pPr>
      <w:r>
        <w:t xml:space="preserve">6.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Execution edge cases on Go Live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Study NT’s Polymarket execution bug fixes (6+ resolved issues). Implement reconciliation. Start with minimal capital as planned.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Full NT rewrite delays live trading 3–6 months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if attempted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attempt. Adopt patterns, not code.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Rate limit violations at scale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Implement explicit rate limiting on execution path before Go 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Tiered WS untested in 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v0.12.0 designed today. Validate on VPS before Go Live. Old flat sharding preserved as fallback.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Cross-asset fill matching on live arbs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NT issue #3345/#3357 documents this exact problem. Pre-build fill matching logic for complementary outcomes.</w:t>
            </w:r>
          </w:p>
        </w:tc>
      </w:tr>
    </w:tbl>
    <w:p>
      <w:pPr>
        <w:spacing w:before="400"/>
      </w:pPr>
    </w:p>
    <w:p>
      <w:pPr>
        <w:pStyle w:val="Heading1"/>
      </w:pPr>
      <w:r>
        <w:t xml:space="preserve">7. Conclusion</w:t>
      </w:r>
    </w:p>
    <w:p>
      <w:pPr>
        <w:spacing w:after="120"/>
      </w:pPr>
      <w:r>
        <w:rPr>
          <w:rFonts w:ascii="Arial" w:cs="Arial" w:eastAsia="Arial" w:hAnsi="Arial"/>
          <w:sz w:val="22"/>
          <w:szCs w:val="22"/>
        </w:rPr>
        <w:t xml:space="preserve">PT and NT occupy fundamentally different positions on the Polymarket trading stack. PT is a pure-Rust, vertically integrated arb machine that has evolved through 11 incidents and 45 versions in 28 days into a system tightly optimized for its domain. NT is a horizontally integrated platform whose Polymarket adapter is one of many venue integrations, written in Python, and designed for a different class of user (someone who writes strategies, not someone who builds autonomous discovery systems).</w:t>
      </w:r>
    </w:p>
    <w:p>
      <w:pPr>
        <w:spacing w:after="120"/>
      </w:pPr>
      <w:r>
        <w:rPr>
          <w:rFonts w:ascii="Arial" w:cs="Arial" w:eastAsia="Arial" w:hAnsi="Arial"/>
          <w:sz w:val="22"/>
          <w:szCs w:val="22"/>
        </w:rPr>
        <w:t xml:space="preserve">The performance inversion — PT (the specialist) has a faster venue-specific layer than NT (the generalist) — makes a rewrite nonsensical. You would be moving from Rust to Python at the venue layer, losing the 1–5ms hot path, and spending months rebuilding domain logic that has no equivalent in NT’s framework.</w:t>
      </w:r>
    </w:p>
    <w:p>
      <w:pPr>
        <w:spacing w:after="120"/>
      </w:pPr>
      <w:r>
        <w:rPr>
          <w:rFonts w:ascii="Arial" w:cs="Arial" w:eastAsia="Arial" w:hAnsi="Arial"/>
          <w:sz w:val="22"/>
          <w:szCs w:val="22"/>
        </w:rPr>
        <w:t xml:space="preserve">The backtesting question is resolved by physics, not preference: Polymarket does not expose historical book depth, so trade-replay backtesting cannot validate a book-depth-dependent strategy. Small-capital live validation is the correct approach.</w:t>
      </w:r>
    </w:p>
    <w:p>
      <w:pPr>
        <w:spacing w:after="120"/>
      </w:pPr>
      <w:r>
        <w:rPr>
          <w:rFonts w:ascii="Arial" w:cs="Arial" w:eastAsia="Arial" w:hAnsi="Arial"/>
          <w:sz w:val="22"/>
          <w:szCs w:val="22"/>
        </w:rPr>
        <w:t xml:space="preserve">The right path is surgical adoption of NT’s hard-won execution knowledge (cross-asset fills, timestamp parsing, reconciliation patterns) as PT approaches Go Live, and revisiting NT’s adapter pattern only when multi-venue expansion becomes a priority. PT’s architecture is not just “good enough” — it is better-suited to its task than NT’s generalized framework could ever be.</w:t>
      </w:r>
    </w:p>
    <w:p>
      <w:pPr>
        <w:pBdr>
          <w:top w:val="single" w:color="1B3A5C" w:sz="4" w:space="8"/>
        </w:pBdr>
        <w:spacing w:before="600"/>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17 March 2026  |  Hedgefund Architecture Review  |  Rev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i/>
        <w:iCs/>
        <w:color w:val="999999"/>
        <w:sz w:val="16"/>
        <w:szCs w:val="16"/>
      </w:rPr>
      <w:t xml:space="preserve">Prediction-Trading vs NautilusTrader  |  Technical Assessment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2026-03-17T10:54:51.117Z</dcterms:created>
  <dcterms:modified xsi:type="dcterms:W3CDTF">2026-03-17T10:54:51.118Z</dcterms:modified>
</cp:coreProperties>
</file>

<file path=docProps/custom.xml><?xml version="1.0" encoding="utf-8"?>
<Properties xmlns="http://schemas.openxmlformats.org/officeDocument/2006/custom-properties" xmlns:vt="http://schemas.openxmlformats.org/officeDocument/2006/docPropsVTypes"/>
</file>