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601B0">
      <w:pPr>
        <w:spacing w:before="60" w:after="60"/>
        <w:ind w:firstLine="0" w:firstLineChars="0"/>
        <w:jc w:val="left"/>
        <w:rPr>
          <w:spacing w:val="40"/>
        </w:rPr>
      </w:pPr>
    </w:p>
    <w:p w14:paraId="1822B710">
      <w:pPr>
        <w:spacing w:before="60" w:after="60"/>
        <w:ind w:firstLine="883"/>
        <w:jc w:val="center"/>
        <w:rPr>
          <w:rFonts w:eastAsia="楷体_GB2312"/>
          <w:b/>
          <w:spacing w:val="40"/>
          <w:sz w:val="36"/>
        </w:rPr>
      </w:pPr>
    </w:p>
    <w:p w14:paraId="01697489">
      <w:pPr>
        <w:spacing w:before="60" w:after="60"/>
        <w:ind w:firstLine="883"/>
        <w:jc w:val="center"/>
        <w:rPr>
          <w:rFonts w:eastAsia="楷体_GB2312"/>
          <w:b/>
          <w:spacing w:val="40"/>
          <w:sz w:val="36"/>
        </w:rPr>
      </w:pPr>
    </w:p>
    <w:p w14:paraId="5E12D30D">
      <w:pPr>
        <w:spacing w:before="60" w:after="60"/>
        <w:ind w:firstLine="0" w:firstLineChars="0"/>
        <w:jc w:val="center"/>
        <w:rPr>
          <w:rFonts w:eastAsia="楷体_GB2312"/>
          <w:b/>
          <w:spacing w:val="40"/>
          <w:sz w:val="36"/>
        </w:rPr>
      </w:pPr>
      <w:r>
        <w:rPr>
          <w:rFonts w:eastAsia="楷体_GB2312"/>
          <w:b/>
          <w:spacing w:val="40"/>
          <w:sz w:val="36"/>
        </w:rPr>
        <w:drawing>
          <wp:inline distT="0" distB="0" distL="114300" distR="114300">
            <wp:extent cx="2131060" cy="398145"/>
            <wp:effectExtent l="0" t="0" r="2540" b="8255"/>
            <wp:docPr id="1" name="图片 1" descr="hit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it04"/>
                    <pic:cNvPicPr>
                      <a:picLocks noChangeAspect="1"/>
                    </pic:cNvPicPr>
                  </pic:nvPicPr>
                  <pic:blipFill>
                    <a:blip r:embed="rId12"/>
                    <a:stretch>
                      <a:fillRect/>
                    </a:stretch>
                  </pic:blipFill>
                  <pic:spPr>
                    <a:xfrm>
                      <a:off x="0" y="0"/>
                      <a:ext cx="2131060" cy="398145"/>
                    </a:xfrm>
                    <a:prstGeom prst="rect">
                      <a:avLst/>
                    </a:prstGeom>
                    <a:noFill/>
                    <a:ln>
                      <a:noFill/>
                    </a:ln>
                  </pic:spPr>
                </pic:pic>
              </a:graphicData>
            </a:graphic>
          </wp:inline>
        </w:drawing>
      </w:r>
    </w:p>
    <w:p w14:paraId="75C03429">
      <w:pPr>
        <w:spacing w:before="60" w:after="60"/>
        <w:ind w:firstLine="883"/>
        <w:jc w:val="center"/>
        <w:rPr>
          <w:rFonts w:eastAsia="楷体_GB2312"/>
          <w:b/>
          <w:spacing w:val="40"/>
          <w:sz w:val="36"/>
        </w:rPr>
      </w:pPr>
    </w:p>
    <w:p w14:paraId="01E374F7">
      <w:pPr>
        <w:spacing w:before="60" w:after="60"/>
        <w:ind w:firstLine="0" w:firstLineChars="0"/>
        <w:jc w:val="center"/>
        <w:rPr>
          <w:b/>
          <w:spacing w:val="40"/>
          <w:sz w:val="48"/>
        </w:rPr>
      </w:pPr>
      <w:r>
        <w:rPr>
          <w:rFonts w:hint="eastAsia" w:hAnsi="Roman PS"/>
          <w:b/>
          <w:spacing w:val="40"/>
          <w:sz w:val="48"/>
        </w:rPr>
        <w:t>本科</w:t>
      </w:r>
      <w:r>
        <w:rPr>
          <w:rFonts w:hAnsi="Roman PS"/>
          <w:b/>
          <w:spacing w:val="40"/>
          <w:sz w:val="48"/>
        </w:rPr>
        <w:t>毕业论文（设计）开题报告</w:t>
      </w:r>
    </w:p>
    <w:p w14:paraId="734C93A6">
      <w:pPr>
        <w:spacing w:before="60" w:after="60"/>
        <w:ind w:firstLine="643"/>
        <w:rPr>
          <w:b/>
          <w:sz w:val="32"/>
        </w:rPr>
      </w:pPr>
    </w:p>
    <w:p w14:paraId="3345B220">
      <w:pPr>
        <w:spacing w:before="60" w:after="60"/>
        <w:ind w:firstLine="0" w:firstLineChars="0"/>
        <w:rPr>
          <w:b/>
          <w:sz w:val="32"/>
        </w:rPr>
      </w:pPr>
    </w:p>
    <w:p w14:paraId="7ED3EE6B">
      <w:pPr>
        <w:spacing w:before="60" w:after="60"/>
        <w:ind w:firstLine="904" w:firstLineChars="250"/>
        <w:rPr>
          <w:rFonts w:hint="default" w:eastAsia="宋体"/>
          <w:b/>
          <w:sz w:val="36"/>
          <w:lang w:val="en-US" w:eastAsia="zh-CN"/>
        </w:rPr>
      </w:pPr>
      <w:r>
        <w:rPr>
          <w:b/>
          <w:sz w:val="36"/>
        </w:rPr>
        <w:t>题 目：</w:t>
      </w:r>
      <w:r>
        <w:rPr>
          <w:rFonts w:hint="eastAsia"/>
          <w:b/>
          <w:sz w:val="36"/>
          <w:lang w:val="en-US" w:eastAsia="zh-CN"/>
        </w:rPr>
        <w:t>基于智能体与几何重演的机加工艺规程验证方法研究</w:t>
      </w:r>
    </w:p>
    <w:p w14:paraId="537044B4">
      <w:pPr>
        <w:spacing w:before="60" w:after="60" w:line="360" w:lineRule="auto"/>
        <w:ind w:firstLine="643"/>
        <w:rPr>
          <w:rFonts w:hint="eastAsia" w:eastAsia="宋体"/>
          <w:b/>
          <w:sz w:val="32"/>
          <w:u w:val="single"/>
          <w:lang w:eastAsia="zh-CN"/>
        </w:rPr>
      </w:pPr>
    </w:p>
    <w:p w14:paraId="2CAF4AF3">
      <w:pPr>
        <w:spacing w:before="60" w:after="60" w:line="360" w:lineRule="auto"/>
        <w:ind w:firstLine="643"/>
        <w:rPr>
          <w:b/>
          <w:sz w:val="32"/>
          <w:u w:val="single"/>
        </w:rPr>
      </w:pPr>
    </w:p>
    <w:p w14:paraId="0A218022">
      <w:pPr>
        <w:spacing w:before="192" w:beforeLines="80" w:after="60" w:line="360" w:lineRule="auto"/>
        <w:ind w:right="-9" w:firstLine="2204" w:firstLineChars="686"/>
        <w:rPr>
          <w:b/>
          <w:sz w:val="32"/>
          <w:u w:val="single"/>
        </w:rPr>
      </w:pPr>
      <w:r>
        <w:rPr>
          <w:b/>
          <w:sz w:val="32"/>
        </w:rPr>
        <w:t xml:space="preserve">专    业 </w:t>
      </w:r>
      <w:r>
        <w:rPr>
          <w:b/>
          <w:sz w:val="32"/>
          <w:u w:val="single"/>
        </w:rPr>
        <w:t xml:space="preserve">     </w:t>
      </w:r>
      <w:r>
        <w:rPr>
          <w:rFonts w:hint="eastAsia"/>
          <w:b/>
          <w:sz w:val="32"/>
          <w:u w:val="single"/>
          <w:lang w:val="en-US" w:eastAsia="zh-CN"/>
        </w:rPr>
        <w:t xml:space="preserve"> 软件工程</w:t>
      </w:r>
      <w:r>
        <w:rPr>
          <w:b/>
          <w:sz w:val="32"/>
          <w:u w:val="single"/>
        </w:rPr>
        <w:t xml:space="preserve"> </w:t>
      </w:r>
      <w:r>
        <w:rPr>
          <w:rFonts w:hint="eastAsia"/>
          <w:b/>
          <w:sz w:val="32"/>
          <w:u w:val="single"/>
          <w:lang w:val="en-US" w:eastAsia="zh-CN"/>
        </w:rPr>
        <w:t xml:space="preserve"> </w:t>
      </w:r>
      <w:r>
        <w:rPr>
          <w:b/>
          <w:sz w:val="32"/>
          <w:u w:val="single"/>
        </w:rPr>
        <w:t xml:space="preserve">     </w:t>
      </w:r>
    </w:p>
    <w:p w14:paraId="31BF8727">
      <w:pPr>
        <w:spacing w:before="192" w:beforeLines="80" w:after="60" w:line="360" w:lineRule="auto"/>
        <w:ind w:firstLine="2204" w:firstLineChars="686"/>
        <w:rPr>
          <w:b/>
          <w:sz w:val="32"/>
          <w:u w:val="single"/>
        </w:rPr>
      </w:pPr>
      <w:r>
        <w:rPr>
          <w:b/>
          <w:sz w:val="32"/>
        </w:rPr>
        <w:t xml:space="preserve">学    生 </w:t>
      </w:r>
      <w:r>
        <w:rPr>
          <w:b/>
          <w:sz w:val="32"/>
          <w:u w:val="single"/>
        </w:rPr>
        <w:t xml:space="preserve">     </w:t>
      </w:r>
      <w:r>
        <w:rPr>
          <w:rFonts w:hint="eastAsia"/>
          <w:b/>
          <w:sz w:val="32"/>
          <w:u w:val="single"/>
          <w:lang w:val="en-US" w:eastAsia="zh-CN"/>
        </w:rPr>
        <w:t xml:space="preserve">  许真玮  </w:t>
      </w:r>
      <w:r>
        <w:rPr>
          <w:b/>
          <w:sz w:val="32"/>
          <w:u w:val="single"/>
        </w:rPr>
        <w:t xml:space="preserve">      </w:t>
      </w:r>
    </w:p>
    <w:p w14:paraId="54DC7508">
      <w:pPr>
        <w:spacing w:before="192" w:beforeLines="80" w:after="60" w:line="360" w:lineRule="auto"/>
        <w:ind w:right="-9" w:firstLine="2204" w:firstLineChars="686"/>
        <w:rPr>
          <w:b/>
          <w:sz w:val="32"/>
          <w:u w:val="single"/>
        </w:rPr>
      </w:pPr>
      <w:r>
        <w:rPr>
          <w:b/>
          <w:sz w:val="32"/>
        </w:rPr>
        <w:t xml:space="preserve">学    号 </w:t>
      </w:r>
      <w:r>
        <w:rPr>
          <w:b/>
          <w:sz w:val="32"/>
          <w:u w:val="single"/>
        </w:rPr>
        <w:t xml:space="preserve">     </w:t>
      </w:r>
      <w:r>
        <w:rPr>
          <w:rFonts w:hint="eastAsia"/>
          <w:b/>
          <w:sz w:val="32"/>
          <w:u w:val="single"/>
          <w:lang w:val="en-US" w:eastAsia="zh-CN"/>
        </w:rPr>
        <w:t xml:space="preserve">2023110080 </w:t>
      </w:r>
      <w:r>
        <w:rPr>
          <w:b/>
          <w:sz w:val="32"/>
          <w:u w:val="single"/>
        </w:rPr>
        <w:t xml:space="preserve">     </w:t>
      </w:r>
    </w:p>
    <w:p w14:paraId="403FCB67">
      <w:pPr>
        <w:spacing w:before="192" w:beforeLines="80" w:after="60" w:line="360" w:lineRule="auto"/>
        <w:ind w:firstLine="2204" w:firstLineChars="686"/>
        <w:rPr>
          <w:b/>
          <w:sz w:val="32"/>
          <w:u w:val="single"/>
        </w:rPr>
      </w:pPr>
      <w:r>
        <w:rPr>
          <w:b/>
          <w:sz w:val="32"/>
        </w:rPr>
        <w:t xml:space="preserve">指导教师 </w:t>
      </w:r>
      <w:r>
        <w:rPr>
          <w:b/>
          <w:sz w:val="32"/>
          <w:u w:val="single"/>
        </w:rPr>
        <w:t xml:space="preserve">       </w:t>
      </w:r>
      <w:r>
        <w:rPr>
          <w:rFonts w:hint="eastAsia"/>
          <w:b/>
          <w:sz w:val="32"/>
          <w:u w:val="single"/>
          <w:lang w:val="en-US" w:eastAsia="zh-CN"/>
        </w:rPr>
        <w:t>聂兰顺</w:t>
      </w:r>
      <w:r>
        <w:rPr>
          <w:b/>
          <w:sz w:val="32"/>
          <w:u w:val="single"/>
        </w:rPr>
        <w:t xml:space="preserve">        </w:t>
      </w:r>
    </w:p>
    <w:p w14:paraId="4B212453">
      <w:pPr>
        <w:spacing w:before="192" w:beforeLines="80" w:after="60" w:line="360" w:lineRule="auto"/>
        <w:ind w:firstLine="2204" w:firstLineChars="686"/>
        <w:rPr>
          <w:b/>
          <w:sz w:val="32"/>
          <w:u w:val="single"/>
        </w:rPr>
      </w:pPr>
      <w:r>
        <w:rPr>
          <w:b/>
          <w:sz w:val="32"/>
        </w:rPr>
        <w:t xml:space="preserve">日    期 </w:t>
      </w:r>
      <w:r>
        <w:rPr>
          <w:b/>
          <w:sz w:val="32"/>
          <w:u w:val="single"/>
        </w:rPr>
        <w:t xml:space="preserve">     </w:t>
      </w:r>
      <w:r>
        <w:rPr>
          <w:rFonts w:hint="eastAsia"/>
          <w:b/>
          <w:sz w:val="32"/>
          <w:u w:val="single"/>
          <w:lang w:val="en-US" w:eastAsia="zh-CN"/>
        </w:rPr>
        <w:t xml:space="preserve"> 2026.9.27</w:t>
      </w:r>
      <w:r>
        <w:rPr>
          <w:b/>
          <w:sz w:val="32"/>
          <w:u w:val="single"/>
        </w:rPr>
        <w:t xml:space="preserve">       </w:t>
      </w:r>
    </w:p>
    <w:p w14:paraId="248F4F2D">
      <w:pPr>
        <w:snapToGrid w:val="0"/>
        <w:spacing w:before="60" w:after="60"/>
        <w:ind w:firstLine="643"/>
        <w:rPr>
          <w:b/>
          <w:sz w:val="32"/>
        </w:rPr>
      </w:pPr>
    </w:p>
    <w:p w14:paraId="0FD490A7">
      <w:pPr>
        <w:snapToGrid w:val="0"/>
        <w:spacing w:before="60" w:after="60"/>
        <w:ind w:firstLine="643"/>
        <w:rPr>
          <w:b/>
          <w:sz w:val="32"/>
        </w:rPr>
      </w:pPr>
    </w:p>
    <w:p w14:paraId="5C27A79C">
      <w:pPr>
        <w:snapToGrid w:val="0"/>
        <w:spacing w:before="60" w:after="60"/>
        <w:ind w:firstLine="0" w:firstLineChars="0"/>
        <w:jc w:val="center"/>
        <w:rPr>
          <w:rFonts w:eastAsia="隶书"/>
          <w:b/>
          <w:sz w:val="36"/>
          <w:szCs w:val="36"/>
        </w:rPr>
      </w:pPr>
      <w:r>
        <w:rPr>
          <w:rFonts w:eastAsia="隶书"/>
          <w:b/>
          <w:sz w:val="36"/>
          <w:szCs w:val="36"/>
        </w:rPr>
        <w:t>哈尔滨工业大学教务处制</w:t>
      </w:r>
    </w:p>
    <w:p w14:paraId="0D05913C">
      <w:pPr>
        <w:pStyle w:val="9"/>
        <w:spacing w:before="120" w:after="120"/>
      </w:pPr>
    </w:p>
    <w:p w14:paraId="3F13518D">
      <w:pPr>
        <w:pStyle w:val="9"/>
        <w:spacing w:before="120" w:after="120"/>
        <w:outlineLvl w:val="0"/>
        <w:rPr>
          <w:rFonts w:ascii="Times New Roman" w:hAnsi="Times New Roman"/>
        </w:rPr>
      </w:pPr>
    </w:p>
    <w:p w14:paraId="4CEA74E4">
      <w:pPr>
        <w:pStyle w:val="9"/>
        <w:spacing w:before="120" w:after="120"/>
        <w:outlineLvl w:val="0"/>
        <w:rPr>
          <w:rFonts w:ascii="Times New Roman" w:hAnsi="Times New Roman"/>
        </w:rPr>
      </w:pPr>
      <w:r>
        <w:rPr>
          <w:rFonts w:ascii="Times New Roman" w:hAnsi="Times New Roman"/>
        </w:rPr>
        <w:t>1．课题来源及研究的目的和意义</w:t>
      </w:r>
    </w:p>
    <w:p w14:paraId="1404D8E8">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1.1 课题的来源</w:t>
      </w:r>
    </w:p>
    <w:p w14:paraId="79019D4D">
      <w:pPr>
        <w:keepNext w:val="0"/>
        <w:keepLines w:val="0"/>
        <w:pageBreakBefore w:val="0"/>
        <w:widowControl/>
        <w:suppressLineNumbers w:val="0"/>
        <w:kinsoku/>
        <w:wordWrap/>
        <w:overflowPunct/>
        <w:topLinePunct w:val="0"/>
        <w:autoSpaceDE/>
        <w:autoSpaceDN/>
        <w:bidi w:val="0"/>
        <w:adjustRightInd/>
        <w:snapToGrid/>
        <w:spacing w:before="0" w:beforeLines="0" w:after="0" w:afterLines="0"/>
        <w:ind w:firstLine="480" w:firstLineChars="200"/>
        <w:jc w:val="left"/>
        <w:textAlignment w:val="auto"/>
        <w:rPr>
          <w:rFonts w:hint="eastAsia" w:ascii="Times New Roman" w:hAnsi="Times New Roman" w:eastAsiaTheme="minorEastAsia" w:cstheme="minorEastAsia"/>
        </w:rPr>
      </w:pPr>
      <w:r>
        <w:rPr>
          <w:rFonts w:hint="eastAsia" w:ascii="Times New Roman" w:hAnsi="Times New Roman" w:eastAsiaTheme="minorEastAsia" w:cstheme="minorEastAsia"/>
          <w:color w:val="000000"/>
          <w:kern w:val="0"/>
          <w:sz w:val="24"/>
          <w:szCs w:val="24"/>
          <w:lang w:val="en-US" w:eastAsia="zh-CN" w:bidi="ar"/>
        </w:rPr>
        <w:t>本课题为学校自选项目</w:t>
      </w:r>
      <w:r>
        <w:rPr>
          <w:rFonts w:hint="eastAsia" w:eastAsiaTheme="minorEastAsia" w:cstheme="minorEastAsia"/>
          <w:color w:val="000000"/>
          <w:kern w:val="0"/>
          <w:sz w:val="24"/>
          <w:szCs w:val="24"/>
          <w:lang w:val="en-US" w:eastAsia="zh-CN" w:bidi="ar"/>
        </w:rPr>
        <w:t>，</w:t>
      </w:r>
      <w:r>
        <w:rPr>
          <w:rFonts w:hint="eastAsia" w:ascii="Times New Roman" w:hAnsi="Times New Roman" w:eastAsiaTheme="minorEastAsia" w:cstheme="minorEastAsia"/>
          <w:color w:val="000000"/>
          <w:kern w:val="0"/>
          <w:sz w:val="24"/>
          <w:szCs w:val="24"/>
          <w:lang w:val="en-US" w:eastAsia="zh-CN" w:bidi="ar"/>
        </w:rPr>
        <w:t>选题来源于指导教师课题组的科研方向。</w:t>
      </w:r>
    </w:p>
    <w:p w14:paraId="125D5E12">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1.</w:t>
      </w:r>
      <w:r>
        <w:rPr>
          <w:rFonts w:hint="eastAsia" w:eastAsia="黑体"/>
          <w:b w:val="0"/>
          <w:sz w:val="24"/>
          <w:szCs w:val="24"/>
          <w:lang w:val="en-US" w:eastAsia="zh-CN"/>
        </w:rPr>
        <w:t>2</w:t>
      </w:r>
      <w:r>
        <w:rPr>
          <w:rFonts w:hint="eastAsia" w:ascii="Times New Roman" w:hAnsi="Times New Roman" w:eastAsia="黑体"/>
          <w:b w:val="0"/>
          <w:sz w:val="24"/>
          <w:szCs w:val="24"/>
        </w:rPr>
        <w:t xml:space="preserve"> 研究的目的</w:t>
      </w:r>
    </w:p>
    <w:p w14:paraId="3F2B01B2">
      <w:pPr>
        <w:keepNext w:val="0"/>
        <w:keepLines w:val="0"/>
        <w:pageBreakBefore w:val="0"/>
        <w:kinsoku/>
        <w:wordWrap/>
        <w:overflowPunct/>
        <w:topLinePunct w:val="0"/>
        <w:autoSpaceDE/>
        <w:autoSpaceDN/>
        <w:bidi w:val="0"/>
        <w:adjustRightInd/>
        <w:snapToGrid/>
        <w:spacing w:before="0" w:beforeLines="0" w:after="0" w:afterLines="0" w:line="300" w:lineRule="auto"/>
        <w:ind w:firstLine="480"/>
        <w:textAlignment w:val="auto"/>
        <w:rPr>
          <w:rFonts w:hint="eastAsia" w:eastAsiaTheme="minorEastAsia" w:cstheme="minorEastAsia"/>
          <w:b w:val="0"/>
          <w:sz w:val="24"/>
          <w:lang w:eastAsia="zh-CN"/>
        </w:rPr>
      </w:pPr>
      <w:r>
        <w:rPr>
          <w:rFonts w:hint="eastAsia" w:ascii="Times New Roman" w:hAnsi="Times New Roman" w:eastAsiaTheme="minorEastAsia" w:cstheme="minorEastAsia"/>
          <w:b w:val="0"/>
          <w:sz w:val="24"/>
        </w:rPr>
        <w:t>在实际生产中，工艺规程的编制长期依赖工艺人员的经验积累，编制完成后主要靠人工审阅、样件试切和首件检验来发现错误，缺少自动化、可追溯的验证手段。近年来，随着基于模型的定义与三维工艺设计技术的推广，工艺规程开始与三维模型绑定，使按照几何重演一遍加工过程成为可能。零件从毛坯到成品，本质上是毛坯实体被一系列材料去除操作逐步加工成成品的过程。如果把工艺规程中的每一道工序、每一个工步都转换为参数化的材料去除操作，并在三维实体模型上依次执行布尔差运算，就能够重演出工件在各工序节点的几何状态，即中间工序模型。把重演得到的最终工件与设计模型进行几何一致性比对，就可以自动发现该加工的部位没有加工（遗漏）、不该加工的部位被切除（过切）以及同一部位被重复加工等问题</w:t>
      </w:r>
      <w:r>
        <w:rPr>
          <w:rFonts w:hint="eastAsia" w:eastAsiaTheme="minorEastAsia" w:cstheme="minorEastAsia"/>
          <w:b w:val="0"/>
          <w:sz w:val="24"/>
          <w:lang w:eastAsia="zh-CN"/>
        </w:rPr>
        <w:t>。</w:t>
      </w:r>
    </w:p>
    <w:p w14:paraId="7E8879E0">
      <w:pPr>
        <w:keepNext w:val="0"/>
        <w:keepLines w:val="0"/>
        <w:pageBreakBefore w:val="0"/>
        <w:kinsoku/>
        <w:wordWrap/>
        <w:overflowPunct/>
        <w:topLinePunct w:val="0"/>
        <w:autoSpaceDE/>
        <w:autoSpaceDN/>
        <w:bidi w:val="0"/>
        <w:adjustRightInd/>
        <w:snapToGrid/>
        <w:spacing w:before="0" w:beforeLines="0" w:after="0" w:afterLines="0" w:line="300" w:lineRule="auto"/>
        <w:ind w:firstLine="480"/>
        <w:textAlignment w:val="auto"/>
        <w:rPr>
          <w:rFonts w:hint="eastAsia" w:ascii="Times New Roman" w:hAnsi="Times New Roman" w:eastAsiaTheme="minorEastAsia" w:cstheme="minorEastAsia"/>
        </w:rPr>
      </w:pPr>
      <w:r>
        <w:rPr>
          <w:rFonts w:hint="eastAsia" w:ascii="Times New Roman" w:hAnsi="Times New Roman" w:eastAsiaTheme="minorEastAsia" w:cstheme="minorEastAsia"/>
          <w:b w:val="0"/>
          <w:sz w:val="24"/>
        </w:rPr>
        <w:t>工艺规程的自动验证存在两个</w:t>
      </w:r>
      <w:r>
        <w:rPr>
          <w:rFonts w:hint="eastAsia" w:eastAsiaTheme="minorEastAsia" w:cstheme="minorEastAsia"/>
          <w:b w:val="0"/>
          <w:sz w:val="24"/>
          <w:lang w:val="en-US" w:eastAsia="zh-CN"/>
        </w:rPr>
        <w:t>问题</w:t>
      </w:r>
      <w:r>
        <w:rPr>
          <w:rFonts w:hint="eastAsia" w:ascii="Times New Roman" w:hAnsi="Times New Roman" w:eastAsiaTheme="minorEastAsia" w:cstheme="minorEastAsia"/>
          <w:b w:val="0"/>
          <w:sz w:val="24"/>
        </w:rPr>
        <w:t>。其一是语义解析：工艺规程由自然语言写成，例如车削 M27×2-6g 螺纹外径至 φ27mm、长 16mm，切槽 3mm×φ22mm，把它准确解析为几何上可执行的材料去除操作，需要同时理解工序语义、尺寸与公差语义以及几何方位关系，传统做法依赖大量人工编写的规则，覆盖面窄、维护成本高。其二是几何重演：工件在加工过程中的几何状态随工序推进不断变化，需要在一个可靠的几何内核上稳定地执行布尔运算、生成中间模型与工序附图，并给出可解释的验证结论。</w:t>
      </w:r>
    </w:p>
    <w:p w14:paraId="07BFD786">
      <w:pPr>
        <w:keepNext w:val="0"/>
        <w:keepLines w:val="0"/>
        <w:pageBreakBefore w:val="0"/>
        <w:kinsoku/>
        <w:wordWrap/>
        <w:overflowPunct/>
        <w:topLinePunct w:val="0"/>
        <w:autoSpaceDE/>
        <w:autoSpaceDN/>
        <w:bidi w:val="0"/>
        <w:adjustRightInd/>
        <w:snapToGrid/>
        <w:spacing w:before="0" w:beforeLines="0" w:after="0" w:afterLines="0" w:line="300" w:lineRule="auto"/>
        <w:ind w:firstLine="480"/>
        <w:textAlignment w:val="auto"/>
        <w:rPr>
          <w:rFonts w:hint="eastAsia" w:ascii="Times New Roman" w:hAnsi="Times New Roman" w:eastAsiaTheme="minorEastAsia" w:cstheme="minorEastAsia"/>
        </w:rPr>
      </w:pPr>
      <w:r>
        <w:rPr>
          <w:rFonts w:hint="eastAsia" w:ascii="Times New Roman" w:hAnsi="Times New Roman" w:eastAsiaTheme="minorEastAsia" w:cstheme="minorEastAsia"/>
          <w:b w:val="0"/>
          <w:sz w:val="24"/>
        </w:rPr>
        <w:t>大语言模型与智能体技术的发展为第一个</w:t>
      </w:r>
      <w:r>
        <w:rPr>
          <w:rFonts w:hint="eastAsia" w:eastAsiaTheme="minorEastAsia" w:cstheme="minorEastAsia"/>
          <w:b w:val="0"/>
          <w:sz w:val="24"/>
          <w:lang w:val="en-US" w:eastAsia="zh-CN"/>
        </w:rPr>
        <w:t>问题</w:t>
      </w:r>
      <w:r>
        <w:rPr>
          <w:rFonts w:hint="eastAsia" w:ascii="Times New Roman" w:hAnsi="Times New Roman" w:eastAsiaTheme="minorEastAsia" w:cstheme="minorEastAsia"/>
          <w:b w:val="0"/>
          <w:sz w:val="24"/>
        </w:rPr>
        <w:t>提供了新的思路。大语言模型具备较强的自然语言理解与结构化信息生成能力，配合工具调用可以把语言指令落到确定性的几何工具上；已有的研究表明，通过推理与行动交替、程序化思维提示、检索增强生成等机制，可以显著提升语言模型在需要精确计算的工程任务上的可靠性。本课题面向基于智能体与几何重演的机加工艺规程验证方法开展研究：以工艺规程文本、毛坯 STEP 模型与成品 STEP 模型为输入，由智能体把工序与工步描述解析为参数化材料去除操作；再借助 FreeCAD 与 Open CASCADE 几何内核逐步执行布尔差运算，重演出工件在每道工序的几何状态，生成中间 STEP 模型与工序附图；并通过几何一致性检查识别遗漏、过切与重复加工，最终输出图文并茂的工艺规程验证报告。</w:t>
      </w:r>
    </w:p>
    <w:p w14:paraId="10809BC8">
      <w:pPr>
        <w:keepNext w:val="0"/>
        <w:keepLines w:val="0"/>
        <w:pageBreakBefore w:val="0"/>
        <w:kinsoku/>
        <w:wordWrap/>
        <w:overflowPunct/>
        <w:topLinePunct w:val="0"/>
        <w:autoSpaceDE/>
        <w:autoSpaceDN/>
        <w:bidi w:val="0"/>
        <w:adjustRightInd/>
        <w:snapToGrid/>
        <w:spacing w:before="0" w:beforeLines="0" w:after="0" w:afterLines="0" w:line="300" w:lineRule="auto"/>
        <w:ind w:firstLine="480"/>
        <w:textAlignment w:val="auto"/>
        <w:rPr>
          <w:rFonts w:hint="eastAsia" w:ascii="Times New Roman" w:hAnsi="Times New Roman" w:eastAsiaTheme="minorEastAsia" w:cstheme="minorEastAsia"/>
          <w:sz w:val="24"/>
        </w:rPr>
      </w:pPr>
      <w:r>
        <w:rPr>
          <w:rFonts w:hint="eastAsia" w:ascii="Times New Roman" w:hAnsi="Times New Roman" w:eastAsiaTheme="minorEastAsia" w:cstheme="minorEastAsia"/>
          <w:b w:val="0"/>
          <w:sz w:val="24"/>
        </w:rPr>
        <w:t>本课题的研究目的在于：把工艺规程的检验从依赖人工经验判断，推进到由智能体解析工艺语义、由几何内核重演加工过程的可计算验证，形成可复核、可追溯的验证结论，为工艺规程的改进提供依据。</w:t>
      </w:r>
    </w:p>
    <w:p w14:paraId="4B80A9CB">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1.</w:t>
      </w:r>
      <w:r>
        <w:rPr>
          <w:rFonts w:hint="eastAsia" w:eastAsia="黑体"/>
          <w:b w:val="0"/>
          <w:sz w:val="24"/>
          <w:szCs w:val="24"/>
          <w:lang w:val="en-US" w:eastAsia="zh-CN"/>
        </w:rPr>
        <w:t>3</w:t>
      </w:r>
      <w:r>
        <w:rPr>
          <w:rFonts w:hint="eastAsia" w:ascii="Times New Roman" w:hAnsi="Times New Roman" w:eastAsia="黑体"/>
          <w:b w:val="0"/>
          <w:sz w:val="24"/>
          <w:szCs w:val="24"/>
        </w:rPr>
        <w:t xml:space="preserve"> 研究的意义</w:t>
      </w:r>
    </w:p>
    <w:p w14:paraId="21A2EB17">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其意义体现在以下三个方面：（1）在工艺准备方面，为工艺人员提供自动化的规程检查手段，缩短工艺准备周期、降低试切返工成本，提高工艺规程的编制质量；（2）在工艺设计方面，重演得到的中间工序模型与工序附图可用于三维工艺设计与车间工艺指导，为工艺规程的可视化交付提供数据基础；（3）在方法探索方面，研究智能体与确定性几何内核的分工协作方式，由语言模型负责语义解析与决策、由几何内核负责精确计算，为智能体方法在制造领域的落地提供可借鉴的工程实现方式。</w:t>
      </w:r>
    </w:p>
    <w:p w14:paraId="3C21DF57">
      <w:pPr>
        <w:pStyle w:val="9"/>
        <w:spacing w:before="120" w:after="120"/>
        <w:outlineLvl w:val="0"/>
        <w:rPr>
          <w:rFonts w:ascii="Times New Roman" w:hAnsi="Times New Roman"/>
          <w:szCs w:val="28"/>
        </w:rPr>
      </w:pPr>
      <w:r>
        <w:rPr>
          <w:rFonts w:ascii="Times New Roman" w:hAnsi="Times New Roman"/>
          <w:szCs w:val="28"/>
        </w:rPr>
        <w:t>2．国内外在该方向的研究现状及分析</w:t>
      </w:r>
    </w:p>
    <w:p w14:paraId="4F6E2077">
      <w:pPr>
        <w:pStyle w:val="9"/>
        <w:keepNext w:val="0"/>
        <w:keepLines w:val="0"/>
        <w:pageBreakBefore w:val="0"/>
        <w:widowControl w:val="0"/>
        <w:kinsoku/>
        <w:wordWrap/>
        <w:overflowPunct/>
        <w:topLinePunct w:val="0"/>
        <w:autoSpaceDE/>
        <w:autoSpaceDN/>
        <w:bidi w:val="0"/>
        <w:adjustRightInd/>
        <w:snapToGrid w:val="0"/>
        <w:spacing w:before="0" w:beforeLines="0" w:after="0" w:afterLines="0"/>
        <w:ind w:firstLine="420" w:firstLineChars="0"/>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围绕本课题，国内外研究现状可以从工艺规程数字化与中间工序模型生成、材料去除几何仿真与加工过程建模、大语言模型与智能体在工艺设计中的应用、边界表示学习与 CAD 智能四个方面加以梳理。</w:t>
      </w:r>
    </w:p>
    <w:p w14:paraId="007535C0">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2.1 工艺规程数字化与中间工序模型生成</w:t>
      </w:r>
    </w:p>
    <w:p w14:paraId="55852EBA">
      <w:pPr>
        <w:pStyle w:val="9"/>
        <w:keepNext w:val="0"/>
        <w:keepLines w:val="0"/>
        <w:pageBreakBefore w:val="0"/>
        <w:widowControl w:val="0"/>
        <w:kinsoku/>
        <w:wordWrap/>
        <w:overflowPunct/>
        <w:topLinePunct w:val="0"/>
        <w:autoSpaceDE/>
        <w:autoSpaceDN/>
        <w:bidi w:val="0"/>
        <w:adjustRightInd/>
        <w:snapToGrid w:val="0"/>
        <w:spacing w:before="0" w:beforeLines="0" w:after="0" w:afterLines="0" w:line="300" w:lineRule="auto"/>
        <w:ind w:firstLine="480" w:firstLineChars="200"/>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刘金锋等</w:t>
      </w:r>
      <w:r>
        <w:rPr>
          <w:rFonts w:hint="eastAsia" w:ascii="Times New Roman" w:hAnsi="Times New Roman" w:eastAsiaTheme="minorEastAsia" w:cstheme="minorEastAsia"/>
          <w:sz w:val="24"/>
          <w:szCs w:val="24"/>
          <w:vertAlign w:val="superscript"/>
        </w:rPr>
        <w:t>[1]</w:t>
      </w:r>
      <w:r>
        <w:rPr>
          <w:rFonts w:hint="eastAsia" w:ascii="Times New Roman" w:hAnsi="Times New Roman" w:eastAsiaTheme="minorEastAsia" w:cstheme="minorEastAsia"/>
          <w:sz w:val="24"/>
          <w:szCs w:val="24"/>
        </w:rPr>
        <w:t>把加工特征分为凹陷特征、凸起特征和过渡特征三类，以特征面组为对象结合工艺知识识别所需的加工特征面组，用毛坯模型与制造特征体做布尔差快速创建工序间模型，后一道工序模型由前一道工序模型与该道工序的制造特征体做布尔运算得到。张辉等</w:t>
      </w:r>
      <w:r>
        <w:rPr>
          <w:rFonts w:hint="eastAsia" w:ascii="Times New Roman" w:hAnsi="Times New Roman" w:eastAsiaTheme="minorEastAsia" w:cstheme="minorEastAsia"/>
          <w:sz w:val="24"/>
          <w:szCs w:val="24"/>
          <w:vertAlign w:val="superscript"/>
        </w:rPr>
        <w:t>[2]</w:t>
      </w:r>
      <w:r>
        <w:rPr>
          <w:rFonts w:hint="eastAsia" w:ascii="Times New Roman" w:hAnsi="Times New Roman" w:eastAsiaTheme="minorEastAsia" w:cstheme="minorEastAsia"/>
          <w:sz w:val="24"/>
          <w:szCs w:val="24"/>
        </w:rPr>
        <w:t>面向复杂零件提出中间工序模型的逆向生成方法，研究加工工艺信息与建模信息之间的映射关系，从设计模型出发反向派生出各中间工序模型，并保证各模型之间的关联性。方舟等</w:t>
      </w:r>
      <w:r>
        <w:rPr>
          <w:rFonts w:hint="eastAsia" w:ascii="Times New Roman" w:hAnsi="Times New Roman" w:eastAsiaTheme="minorEastAsia" w:cstheme="minorEastAsia"/>
          <w:sz w:val="24"/>
          <w:szCs w:val="24"/>
          <w:vertAlign w:val="superscript"/>
        </w:rPr>
        <w:t>[3]</w:t>
      </w:r>
      <w:r>
        <w:rPr>
          <w:rFonts w:hint="eastAsia" w:ascii="Times New Roman" w:hAnsi="Times New Roman" w:eastAsiaTheme="minorEastAsia" w:cstheme="minorEastAsia"/>
          <w:sz w:val="24"/>
          <w:szCs w:val="24"/>
        </w:rPr>
        <w:t>针对数控加工工艺方案依赖工艺人员经验、难以与零件实际工艺过程相符的问题，用上下文无关语法构建工艺知识与或图作为工艺方案的搜索空间，以注意力机制学习加工特征与特征工艺标签之间的映射，再融合蚁群算法与遗传算法在解空间中联合推理出工步序列与各加工特征的特征工艺，实现了数据驱动与知识引导相结合的数控加工工艺生成。</w:t>
      </w:r>
    </w:p>
    <w:p w14:paraId="0AF5D92F">
      <w:pPr>
        <w:pStyle w:val="9"/>
        <w:keepNext w:val="0"/>
        <w:keepLines w:val="0"/>
        <w:pageBreakBefore w:val="0"/>
        <w:widowControl w:val="0"/>
        <w:kinsoku/>
        <w:wordWrap/>
        <w:overflowPunct/>
        <w:topLinePunct w:val="0"/>
        <w:autoSpaceDE/>
        <w:autoSpaceDN/>
        <w:bidi w:val="0"/>
        <w:adjustRightInd/>
        <w:snapToGrid w:val="0"/>
        <w:spacing w:before="0" w:beforeLines="0" w:after="0" w:afterLines="0" w:line="300" w:lineRule="auto"/>
        <w:ind w:firstLine="480" w:firstLineChars="200"/>
        <w:textAlignment w:val="auto"/>
        <w:rPr>
          <w:rFonts w:hint="eastAsia" w:ascii="Times New Roman" w:hAnsi="Times New Roman" w:eastAsiaTheme="minorEastAsia" w:cstheme="minorEastAsia"/>
          <w:sz w:val="24"/>
          <w:szCs w:val="24"/>
          <w:lang w:eastAsia="zh-CN"/>
        </w:rPr>
      </w:pPr>
      <w:r>
        <w:rPr>
          <w:rFonts w:hint="eastAsia" w:ascii="Times New Roman" w:hAnsi="Times New Roman" w:eastAsiaTheme="minorEastAsia" w:cstheme="minorEastAsia"/>
          <w:sz w:val="24"/>
          <w:szCs w:val="24"/>
        </w:rPr>
        <w:t>在工艺知识复用方面，牛帅等</w:t>
      </w:r>
      <w:r>
        <w:rPr>
          <w:rFonts w:hint="eastAsia" w:ascii="Times New Roman" w:hAnsi="Times New Roman" w:eastAsiaTheme="minorEastAsia" w:cstheme="minorEastAsia"/>
          <w:sz w:val="24"/>
          <w:szCs w:val="24"/>
          <w:vertAlign w:val="superscript"/>
        </w:rPr>
        <w:t>[4]</w:t>
      </w:r>
      <w:r>
        <w:rPr>
          <w:rFonts w:hint="eastAsia" w:ascii="Times New Roman" w:hAnsi="Times New Roman" w:eastAsiaTheme="minorEastAsia" w:cstheme="minorEastAsia"/>
          <w:sz w:val="24"/>
          <w:szCs w:val="24"/>
        </w:rPr>
        <w:t>对数控加工工艺重用关键技术做了系统回顾，指出几何相似则工艺相似的基本原理，从宏观工艺重用、微观工艺重用和基于机器学习的工艺重用三个维度总结了研究进展。分析可见：上述工作确立了由工艺信息经布尔运算生成工序模型的技术路线，其输入通常是已经确认无误的加工信息，生成过程依赖人工指定的特征与规则</w:t>
      </w:r>
      <w:r>
        <w:rPr>
          <w:rFonts w:hint="eastAsia" w:eastAsiaTheme="minorEastAsia" w:cstheme="minorEastAsia"/>
          <w:sz w:val="24"/>
          <w:szCs w:val="24"/>
          <w:lang w:eastAsia="zh-CN"/>
        </w:rPr>
        <w:t>。</w:t>
      </w:r>
    </w:p>
    <w:p w14:paraId="18731D6E">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2.2 材料去除几何仿真与加工过程建模</w:t>
      </w:r>
    </w:p>
    <w:p w14:paraId="2C4D29B8">
      <w:pPr>
        <w:pStyle w:val="9"/>
        <w:keepNext w:val="0"/>
        <w:keepLines w:val="0"/>
        <w:pageBreakBefore w:val="0"/>
        <w:widowControl w:val="0"/>
        <w:kinsoku/>
        <w:wordWrap/>
        <w:overflowPunct/>
        <w:topLinePunct w:val="0"/>
        <w:autoSpaceDE/>
        <w:autoSpaceDN/>
        <w:bidi w:val="0"/>
        <w:adjustRightInd/>
        <w:snapToGrid w:val="0"/>
        <w:spacing w:before="0" w:beforeLines="0" w:after="0" w:afterLines="0" w:line="300" w:lineRule="auto"/>
        <w:ind w:firstLine="480" w:firstLineChars="200"/>
        <w:textAlignment w:val="auto"/>
        <w:rPr>
          <w:rFonts w:hint="eastAsia" w:ascii="Times New Roman" w:hAnsi="Times New Roman" w:eastAsiaTheme="minorEastAsia" w:cstheme="minorEastAsia"/>
          <w:sz w:val="24"/>
          <w:szCs w:val="24"/>
          <w:lang w:eastAsia="zh-CN"/>
        </w:rPr>
      </w:pPr>
      <w:r>
        <w:rPr>
          <w:rFonts w:hint="eastAsia" w:ascii="Times New Roman" w:hAnsi="Times New Roman" w:eastAsiaTheme="minorEastAsia" w:cstheme="minorEastAsia"/>
          <w:sz w:val="24"/>
          <w:szCs w:val="24"/>
        </w:rPr>
        <w:t>高书颜等</w:t>
      </w:r>
      <w:r>
        <w:rPr>
          <w:rFonts w:hint="eastAsia" w:ascii="Times New Roman" w:hAnsi="Times New Roman" w:eastAsiaTheme="minorEastAsia" w:cstheme="minorEastAsia"/>
          <w:sz w:val="24"/>
          <w:szCs w:val="24"/>
          <w:vertAlign w:val="superscript"/>
        </w:rPr>
        <w:t>[5]</w:t>
      </w:r>
      <w:r>
        <w:rPr>
          <w:rFonts w:hint="eastAsia" w:ascii="Times New Roman" w:hAnsi="Times New Roman" w:eastAsiaTheme="minorEastAsia" w:cstheme="minorEastAsia"/>
          <w:sz w:val="24"/>
          <w:szCs w:val="24"/>
        </w:rPr>
        <w:t>提出基于距离场的等效运动与自适应八叉树方法，用等效运动更新材料去除后的工件表面以避免刀具扫掠体计算，实现了五轴加工通用刀具切触区的高效计算与切削力预测；张荣闯等</w:t>
      </w:r>
      <w:r>
        <w:rPr>
          <w:rFonts w:hint="eastAsia" w:ascii="Times New Roman" w:hAnsi="Times New Roman" w:eastAsiaTheme="minorEastAsia" w:cstheme="minorEastAsia"/>
          <w:sz w:val="24"/>
          <w:szCs w:val="24"/>
          <w:vertAlign w:val="superscript"/>
        </w:rPr>
        <w:t>[6]</w:t>
      </w:r>
      <w:r>
        <w:rPr>
          <w:rFonts w:hint="eastAsia" w:ascii="Times New Roman" w:hAnsi="Times New Roman" w:eastAsiaTheme="minorEastAsia" w:cstheme="minorEastAsia"/>
          <w:sz w:val="24"/>
          <w:szCs w:val="24"/>
        </w:rPr>
        <w:t>用半球面近似刀具扫掠面，以边界曲线所在曲面对半球面进行修剪来提取刀具与工件的切触区域，为多轴铣削中接触几何的精确表达提供了高效算法；张俊等</w:t>
      </w:r>
      <w:r>
        <w:rPr>
          <w:rFonts w:hint="eastAsia" w:ascii="Times New Roman" w:hAnsi="Times New Roman" w:eastAsiaTheme="minorEastAsia" w:cstheme="minorEastAsia"/>
          <w:sz w:val="24"/>
          <w:szCs w:val="24"/>
          <w:vertAlign w:val="superscript"/>
        </w:rPr>
        <w:t>[7]</w:t>
      </w:r>
      <w:r>
        <w:rPr>
          <w:rFonts w:hint="eastAsia" w:ascii="Times New Roman" w:hAnsi="Times New Roman" w:eastAsiaTheme="minorEastAsia" w:cstheme="minorEastAsia"/>
          <w:sz w:val="24"/>
          <w:szCs w:val="24"/>
        </w:rPr>
        <w:t>提出仿真铣削加工过程的边界几何方法，以微元线段表征刀齿与工件的实体特征，在考虑铣削系统非线性动态再生效应、刀具振动与刀具跳动的条件下仿真铣削力与振动；聂鹏飞等</w:t>
      </w:r>
      <w:r>
        <w:rPr>
          <w:rFonts w:hint="eastAsia" w:ascii="Times New Roman" w:hAnsi="Times New Roman" w:eastAsiaTheme="minorEastAsia" w:cstheme="minorEastAsia"/>
          <w:sz w:val="24"/>
          <w:szCs w:val="24"/>
          <w:vertAlign w:val="superscript"/>
        </w:rPr>
        <w:t>[8]</w:t>
      </w:r>
      <w:r>
        <w:rPr>
          <w:rFonts w:hint="eastAsia" w:ascii="Times New Roman" w:hAnsi="Times New Roman" w:eastAsiaTheme="minorEastAsia" w:cstheme="minorEastAsia"/>
          <w:sz w:val="24"/>
          <w:szCs w:val="24"/>
        </w:rPr>
        <w:t>把几何、物理与运动仿真协同起来，重构切削的材料去除过程，用神经网络解析切削刃的力热载荷以预测切削力与刀具磨损，并搭建五轴联动的机床运动模型，在此基础上实现工艺参数的自主迭代优化。分析可见：数控加工几何仿真可分为实体建模类方法与映射空间类方法，前者能够提供完整的几何与拓扑信息但计算量大，后者算法简单、效率高但精度受离散分辨率限制；这些工作的输入通常是已知且正确的刀具轨迹或刀位文件，验证的对象是加工结果</w:t>
      </w:r>
      <w:r>
        <w:rPr>
          <w:rFonts w:hint="eastAsia" w:eastAsiaTheme="minorEastAsia" w:cstheme="minorEastAsia"/>
          <w:sz w:val="24"/>
          <w:szCs w:val="24"/>
          <w:lang w:eastAsia="zh-CN"/>
        </w:rPr>
        <w:t>。</w:t>
      </w:r>
    </w:p>
    <w:p w14:paraId="60F2E06E">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2.3 大语言模型与智能体在工艺设计中的应用</w:t>
      </w:r>
    </w:p>
    <w:p w14:paraId="45BA4FF5">
      <w:pPr>
        <w:pStyle w:val="9"/>
        <w:keepNext w:val="0"/>
        <w:keepLines w:val="0"/>
        <w:pageBreakBefore w:val="0"/>
        <w:widowControl w:val="0"/>
        <w:kinsoku/>
        <w:wordWrap/>
        <w:overflowPunct/>
        <w:topLinePunct w:val="0"/>
        <w:autoSpaceDE/>
        <w:autoSpaceDN/>
        <w:bidi w:val="0"/>
        <w:adjustRightInd/>
        <w:snapToGrid w:val="0"/>
        <w:spacing w:before="0" w:beforeLines="0" w:after="0" w:afterLines="0" w:line="300" w:lineRule="auto"/>
        <w:ind w:firstLine="480" w:firstLineChars="200"/>
        <w:textAlignment w:val="auto"/>
        <w:rPr>
          <w:rFonts w:hint="eastAsia" w:ascii="Times New Roman" w:hAnsi="Times New Roman" w:eastAsiaTheme="minorEastAsia" w:cstheme="minorEastAsia"/>
          <w:sz w:val="24"/>
          <w:szCs w:val="24"/>
          <w:lang w:eastAsia="zh-CN"/>
        </w:rPr>
      </w:pPr>
      <w:r>
        <w:rPr>
          <w:rFonts w:hint="eastAsia" w:ascii="Times New Roman" w:hAnsi="Times New Roman" w:eastAsiaTheme="minorEastAsia" w:cstheme="minorEastAsia"/>
          <w:sz w:val="24"/>
          <w:szCs w:val="24"/>
        </w:rPr>
        <w:t>Yao 等</w:t>
      </w:r>
      <w:r>
        <w:rPr>
          <w:rFonts w:hint="eastAsia" w:ascii="Times New Roman" w:hAnsi="Times New Roman" w:eastAsiaTheme="minorEastAsia" w:cstheme="minorEastAsia"/>
          <w:sz w:val="24"/>
          <w:szCs w:val="24"/>
          <w:vertAlign w:val="superscript"/>
        </w:rPr>
        <w:t>[9]</w:t>
      </w:r>
      <w:r>
        <w:rPr>
          <w:rFonts w:hint="eastAsia" w:ascii="Times New Roman" w:hAnsi="Times New Roman" w:eastAsiaTheme="minorEastAsia" w:cstheme="minorEastAsia"/>
          <w:sz w:val="24"/>
          <w:szCs w:val="24"/>
        </w:rPr>
        <w:t>提出 ReAct 框架，让语言模型交替生成推理轨迹与动作，把推理与工具调用耦合起来；Chen 等</w:t>
      </w:r>
      <w:r>
        <w:rPr>
          <w:rFonts w:hint="eastAsia" w:ascii="Times New Roman" w:hAnsi="Times New Roman" w:eastAsiaTheme="minorEastAsia" w:cstheme="minorEastAsia"/>
          <w:sz w:val="24"/>
          <w:szCs w:val="24"/>
          <w:vertAlign w:val="superscript"/>
        </w:rPr>
        <w:t>[10]</w:t>
      </w:r>
      <w:r>
        <w:rPr>
          <w:rFonts w:hint="eastAsia" w:ascii="Times New Roman" w:hAnsi="Times New Roman" w:eastAsiaTheme="minorEastAsia" w:cstheme="minorEastAsia"/>
          <w:sz w:val="24"/>
          <w:szCs w:val="24"/>
        </w:rPr>
        <w:t>提出程序化思维提示方法，把计算过程交给程序执行、把推理留给语言模型，显著提升了数值推理任务的可靠性，这两项工作正是由语言模型负责解析与决策、由外部程序负责精确计算这一分工范式的依据。Wang 等</w:t>
      </w:r>
      <w:r>
        <w:rPr>
          <w:rFonts w:hint="eastAsia" w:ascii="Times New Roman" w:hAnsi="Times New Roman" w:eastAsiaTheme="minorEastAsia" w:cstheme="minorEastAsia"/>
          <w:sz w:val="24"/>
          <w:szCs w:val="24"/>
          <w:vertAlign w:val="superscript"/>
        </w:rPr>
        <w:t>[11]</w:t>
      </w:r>
      <w:r>
        <w:rPr>
          <w:rFonts w:hint="eastAsia" w:ascii="Times New Roman" w:hAnsi="Times New Roman" w:eastAsiaTheme="minorEastAsia" w:cstheme="minorEastAsia"/>
          <w:sz w:val="24"/>
          <w:szCs w:val="24"/>
        </w:rPr>
        <w:t>对基于大语言模型的自主智能体做了系统综述，把智能体的构成归纳为规划、记忆与工具使用等模块，指出工具调用是语言模型把语义理解落到具体任务上的关键环节，为本课题让智能体在解析规程的过程中查询几何状态提供了架构参考。在工艺与制造领域，Hoang 等</w:t>
      </w:r>
      <w:r>
        <w:rPr>
          <w:rFonts w:hint="eastAsia" w:ascii="Times New Roman" w:hAnsi="Times New Roman" w:eastAsiaTheme="minorEastAsia" w:cstheme="minorEastAsia"/>
          <w:sz w:val="24"/>
          <w:szCs w:val="24"/>
          <w:vertAlign w:val="superscript"/>
        </w:rPr>
        <w:t>[12]</w:t>
      </w:r>
      <w:r>
        <w:rPr>
          <w:rFonts w:hint="eastAsia" w:ascii="Times New Roman" w:hAnsi="Times New Roman" w:eastAsiaTheme="minorEastAsia" w:cstheme="minorEastAsia"/>
          <w:sz w:val="24"/>
          <w:szCs w:val="24"/>
        </w:rPr>
        <w:t>把工艺知识图谱与大语言模型融合起来，用于数控加工中刀具选择、进给与转速匹配以及多轴走刀路线的可解释决策；姜禹辰等</w:t>
      </w:r>
      <w:r>
        <w:rPr>
          <w:rFonts w:hint="eastAsia" w:ascii="Times New Roman" w:hAnsi="Times New Roman" w:eastAsiaTheme="minorEastAsia" w:cstheme="minorEastAsia"/>
          <w:sz w:val="24"/>
          <w:szCs w:val="24"/>
          <w:vertAlign w:val="superscript"/>
        </w:rPr>
        <w:t>[13]</w:t>
      </w:r>
      <w:r>
        <w:rPr>
          <w:rFonts w:hint="eastAsia" w:ascii="Times New Roman" w:hAnsi="Times New Roman" w:eastAsiaTheme="minorEastAsia" w:cstheme="minorEastAsia"/>
          <w:sz w:val="24"/>
          <w:szCs w:val="24"/>
        </w:rPr>
        <w:t>面向工艺规范提出文档树结构的检索增强生成方法，针对工艺文档结构复杂、检索粒度粗的问题改进了知识的组织与检索方式；张华等</w:t>
      </w:r>
      <w:r>
        <w:rPr>
          <w:rFonts w:hint="eastAsia" w:ascii="Times New Roman" w:hAnsi="Times New Roman" w:eastAsiaTheme="minorEastAsia" w:cstheme="minorEastAsia"/>
          <w:sz w:val="24"/>
          <w:szCs w:val="24"/>
          <w:vertAlign w:val="superscript"/>
        </w:rPr>
        <w:t>[14]</w:t>
      </w:r>
      <w:r>
        <w:rPr>
          <w:rFonts w:hint="eastAsia" w:ascii="Times New Roman" w:hAnsi="Times New Roman" w:eastAsiaTheme="minorEastAsia" w:cstheme="minorEastAsia"/>
          <w:sz w:val="24"/>
          <w:szCs w:val="24"/>
        </w:rPr>
        <w:t>提出基于混合微调大模型的变工况机械加工能耗预测方法；王晓东等</w:t>
      </w:r>
      <w:r>
        <w:rPr>
          <w:rFonts w:hint="eastAsia" w:ascii="Times New Roman" w:hAnsi="Times New Roman" w:eastAsiaTheme="minorEastAsia" w:cstheme="minorEastAsia"/>
          <w:sz w:val="24"/>
          <w:szCs w:val="24"/>
          <w:vertAlign w:val="superscript"/>
        </w:rPr>
        <w:t>[15]</w:t>
      </w:r>
      <w:r>
        <w:rPr>
          <w:rFonts w:hint="eastAsia" w:ascii="Times New Roman" w:hAnsi="Times New Roman" w:eastAsiaTheme="minorEastAsia" w:cstheme="minorEastAsia"/>
          <w:sz w:val="24"/>
          <w:szCs w:val="24"/>
        </w:rPr>
        <w:t>构建由数字化装配体、装配工艺文档与装配技能库组成的多源装配数据，利用图检索增强生成实现知识语义融合，并以思考、行动与反思的闭环控制机器人装配；王荣等</w:t>
      </w:r>
      <w:r>
        <w:rPr>
          <w:rFonts w:hint="eastAsia" w:ascii="Times New Roman" w:hAnsi="Times New Roman" w:eastAsiaTheme="minorEastAsia" w:cstheme="minorEastAsia"/>
          <w:sz w:val="24"/>
          <w:szCs w:val="24"/>
          <w:vertAlign w:val="superscript"/>
        </w:rPr>
        <w:t>[16]</w:t>
      </w:r>
      <w:r>
        <w:rPr>
          <w:rFonts w:hint="eastAsia" w:ascii="Times New Roman" w:hAnsi="Times New Roman" w:eastAsiaTheme="minorEastAsia" w:cstheme="minorEastAsia"/>
          <w:sz w:val="24"/>
          <w:szCs w:val="24"/>
        </w:rPr>
        <w:t>将知识图谱提示与思维链反思相结合，实现机器人装配任务规划；Xie 等</w:t>
      </w:r>
      <w:r>
        <w:rPr>
          <w:rFonts w:hint="eastAsia" w:ascii="Times New Roman" w:hAnsi="Times New Roman" w:eastAsiaTheme="minorEastAsia" w:cstheme="minorEastAsia"/>
          <w:sz w:val="24"/>
          <w:szCs w:val="24"/>
          <w:vertAlign w:val="superscript"/>
        </w:rPr>
        <w:t>[17]</w:t>
      </w:r>
      <w:r>
        <w:rPr>
          <w:rFonts w:hint="eastAsia" w:ascii="Times New Roman" w:hAnsi="Times New Roman" w:eastAsiaTheme="minorEastAsia" w:cstheme="minorEastAsia"/>
          <w:sz w:val="24"/>
          <w:szCs w:val="24"/>
        </w:rPr>
        <w:t>提出基于多智能体协作的工艺路线快速生成方法，把工艺路线生成分解为加工特征提取、加工特征排序、加工资源选择与工艺路线优化合并四个子任务，由多个智能体分别承担，并与工艺知识图谱结合以抑制模型的错误输出，再用 TOPSIS 方法对生成的工艺路线进行评价。分析可见：大语言模型与智能体在工艺路线生成、装配任务规划等任务上已有较多探索，其输出在文本、方案或控制代码层面</w:t>
      </w:r>
      <w:r>
        <w:rPr>
          <w:rFonts w:hint="eastAsia" w:eastAsiaTheme="minorEastAsia" w:cstheme="minorEastAsia"/>
          <w:sz w:val="24"/>
          <w:szCs w:val="24"/>
          <w:lang w:eastAsia="zh-CN"/>
        </w:rPr>
        <w:t>。</w:t>
      </w:r>
    </w:p>
    <w:p w14:paraId="2738E7A6">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2.4 边界表示学习与 CAD 智能</w:t>
      </w:r>
    </w:p>
    <w:p w14:paraId="68A8F800">
      <w:pPr>
        <w:pStyle w:val="9"/>
        <w:keepNext w:val="0"/>
        <w:keepLines w:val="0"/>
        <w:pageBreakBefore w:val="0"/>
        <w:widowControl w:val="0"/>
        <w:kinsoku/>
        <w:wordWrap/>
        <w:overflowPunct/>
        <w:topLinePunct w:val="0"/>
        <w:autoSpaceDE/>
        <w:autoSpaceDN/>
        <w:bidi w:val="0"/>
        <w:adjustRightInd/>
        <w:snapToGrid w:val="0"/>
        <w:spacing w:before="0" w:beforeLines="0" w:after="0" w:afterLines="0" w:line="300" w:lineRule="auto"/>
        <w:ind w:firstLine="480" w:firstLineChars="200"/>
        <w:textAlignment w:val="auto"/>
        <w:rPr>
          <w:rFonts w:hint="eastAsia" w:ascii="Times New Roman" w:hAnsi="Times New Roman" w:eastAsiaTheme="minorEastAsia" w:cstheme="minorEastAsia"/>
          <w:sz w:val="24"/>
          <w:szCs w:val="24"/>
          <w:lang w:eastAsia="zh-CN"/>
        </w:rPr>
      </w:pPr>
      <w:r>
        <w:rPr>
          <w:rFonts w:hint="eastAsia" w:ascii="Times New Roman" w:hAnsi="Times New Roman" w:eastAsiaTheme="minorEastAsia" w:cstheme="minorEastAsia"/>
          <w:sz w:val="24"/>
          <w:szCs w:val="24"/>
        </w:rPr>
        <w:t>Lambourne 等</w:t>
      </w:r>
      <w:r>
        <w:rPr>
          <w:rFonts w:hint="eastAsia" w:ascii="Times New Roman" w:hAnsi="Times New Roman" w:eastAsiaTheme="minorEastAsia" w:cstheme="minorEastAsia"/>
          <w:sz w:val="24"/>
          <w:szCs w:val="24"/>
          <w:vertAlign w:val="superscript"/>
        </w:rPr>
        <w:t>[18]</w:t>
      </w:r>
      <w:r>
        <w:rPr>
          <w:rFonts w:hint="eastAsia" w:ascii="Times New Roman" w:hAnsi="Times New Roman" w:eastAsiaTheme="minorEastAsia" w:cstheme="minorEastAsia"/>
          <w:sz w:val="24"/>
          <w:szCs w:val="24"/>
        </w:rPr>
        <w:t>提出 BRepNet，用拓扑消息传递直接在边界表示的面、边、顶点结构上学习，奠定了边界表示深度学习的基础；Khan 等</w:t>
      </w:r>
      <w:r>
        <w:rPr>
          <w:rFonts w:hint="eastAsia" w:ascii="Times New Roman" w:hAnsi="Times New Roman" w:eastAsiaTheme="minorEastAsia" w:cstheme="minorEastAsia"/>
          <w:sz w:val="24"/>
          <w:szCs w:val="24"/>
          <w:vertAlign w:val="superscript"/>
        </w:rPr>
        <w:t>[19]</w:t>
      </w:r>
      <w:r>
        <w:rPr>
          <w:rFonts w:hint="eastAsia" w:ascii="Times New Roman" w:hAnsi="Times New Roman" w:eastAsiaTheme="minorEastAsia" w:cstheme="minorEastAsia"/>
          <w:sz w:val="24"/>
          <w:szCs w:val="24"/>
        </w:rPr>
        <w:t>提出 Text2CAD，用大语言模型与视觉语言模型为已有 CAD 数据集自动生成从抽象描述到专家级描述的文本标注，并训练自回归网络由文本生成由草图与拉伸构成的参数化建模序列，体现了以文本驱动参数化建模的思路；Zhang 等</w:t>
      </w:r>
      <w:r>
        <w:rPr>
          <w:rFonts w:hint="eastAsia" w:ascii="Times New Roman" w:hAnsi="Times New Roman" w:eastAsiaTheme="minorEastAsia" w:cstheme="minorEastAsia"/>
          <w:sz w:val="24"/>
          <w:szCs w:val="24"/>
          <w:vertAlign w:val="superscript"/>
        </w:rPr>
        <w:t>[20]</w:t>
      </w:r>
      <w:r>
        <w:rPr>
          <w:rFonts w:hint="eastAsia" w:ascii="Times New Roman" w:hAnsi="Times New Roman" w:eastAsiaTheme="minorEastAsia" w:cstheme="minorEastAsia"/>
          <w:sz w:val="24"/>
          <w:szCs w:val="24"/>
        </w:rPr>
        <w:t>系统综述了大语言模型在计算机辅助设计中的应用，梳理了参数化建模、边界表示生成与多模态理解等任务的研究进展；Jayaraman 等</w:t>
      </w:r>
      <w:r>
        <w:rPr>
          <w:rFonts w:hint="eastAsia" w:ascii="Times New Roman" w:hAnsi="Times New Roman" w:eastAsiaTheme="minorEastAsia" w:cstheme="minorEastAsia"/>
          <w:sz w:val="24"/>
          <w:szCs w:val="24"/>
          <w:vertAlign w:val="superscript"/>
        </w:rPr>
        <w:t>[21]</w:t>
      </w:r>
      <w:r>
        <w:rPr>
          <w:rFonts w:hint="eastAsia" w:ascii="Times New Roman" w:hAnsi="Times New Roman" w:eastAsiaTheme="minorEastAsia" w:cstheme="minorEastAsia"/>
          <w:sz w:val="24"/>
          <w:szCs w:val="24"/>
        </w:rPr>
        <w:t>提出 UV-Net，用曲线与曲面的 UV 参数域表示几何、用邻接图表示拓扑，把图像卷积与图卷积耦合起来直接在边界表示上学习，为几何与拓扑的联合建模提供了有效表示；Yao 等</w:t>
      </w:r>
      <w:r>
        <w:rPr>
          <w:rFonts w:hint="eastAsia" w:ascii="Times New Roman" w:hAnsi="Times New Roman" w:eastAsiaTheme="minorEastAsia" w:cstheme="minorEastAsia"/>
          <w:sz w:val="24"/>
          <w:szCs w:val="24"/>
          <w:vertAlign w:val="superscript"/>
        </w:rPr>
        <w:t>[22]</w:t>
      </w:r>
      <w:r>
        <w:rPr>
          <w:rFonts w:hint="eastAsia" w:ascii="Times New Roman" w:hAnsi="Times New Roman" w:eastAsiaTheme="minorEastAsia" w:cstheme="minorEastAsia"/>
          <w:sz w:val="24"/>
          <w:szCs w:val="24"/>
        </w:rPr>
        <w:t>提出思维树框架，让语言模型在多个推理路径上展开、自我评价并在必要时回溯，把复杂任务转化为可搜索的推理过程，为需要多步决策的几何操作推理提供了可借鉴的框架；Schick 等</w:t>
      </w:r>
      <w:r>
        <w:rPr>
          <w:rFonts w:hint="eastAsia" w:ascii="Times New Roman" w:hAnsi="Times New Roman" w:eastAsiaTheme="minorEastAsia" w:cstheme="minorEastAsia"/>
          <w:sz w:val="24"/>
          <w:szCs w:val="24"/>
          <w:vertAlign w:val="superscript"/>
        </w:rPr>
        <w:t>[23]</w:t>
      </w:r>
      <w:r>
        <w:rPr>
          <w:rFonts w:hint="eastAsia" w:ascii="Times New Roman" w:hAnsi="Times New Roman" w:eastAsiaTheme="minorEastAsia" w:cstheme="minorEastAsia"/>
          <w:sz w:val="24"/>
          <w:szCs w:val="24"/>
        </w:rPr>
        <w:t>提出 Toolformer，让语言模型以自监督方式学会在何时以何种参数调用外部工具并把返回结果并入后续计算，显著提升了需要精确计算的任务上的可靠性，体现了工具调用型智能体把语义理解落到确定性工具上的可行性。分析可见：把语言模型与边界表示几何连接起来是当前的研究热点，研究重心多在由语言描述生成或编辑模型</w:t>
      </w:r>
      <w:r>
        <w:rPr>
          <w:rFonts w:hint="eastAsia" w:eastAsiaTheme="minorEastAsia" w:cstheme="minorEastAsia"/>
          <w:sz w:val="24"/>
          <w:szCs w:val="24"/>
          <w:lang w:eastAsia="zh-CN"/>
        </w:rPr>
        <w:t>。</w:t>
      </w:r>
    </w:p>
    <w:p w14:paraId="451B2F41">
      <w:pPr>
        <w:pStyle w:val="9"/>
        <w:spacing w:before="120" w:after="120"/>
        <w:ind w:left="0" w:leftChars="0" w:firstLine="0" w:firstLineChars="0"/>
        <w:outlineLvl w:val="0"/>
        <w:rPr>
          <w:rFonts w:ascii="Times New Roman" w:hAnsi="Times New Roman"/>
          <w:szCs w:val="28"/>
        </w:rPr>
      </w:pPr>
      <w:r>
        <w:rPr>
          <w:rFonts w:ascii="Times New Roman" w:hAnsi="Times New Roman"/>
          <w:szCs w:val="28"/>
        </w:rPr>
        <w:t>3．主要研究内容</w:t>
      </w:r>
    </w:p>
    <w:p w14:paraId="3B46E94F">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依据任务书确定的技术指标，本课题以工艺规程文本、毛坯 STEP 模型与成品 STEP 模型为输入，以图文验证报告为输出，主要研究内容包括以下五个模块，总体流程如图 1 所示。五个模块依次衔接：规程描述与 STEP 对齐模块把自然语言描述的工序内容转换为与三维模型对应的操作序列；几何重演与材料去除模块按工序顺序执行布尔差运算，逐步生成中间工序模型；工序附图生成模块为每道工序提供图形证据；工艺验证模块给出几何一致性结论与异常工序的定位信息；图文验证报告生成模块把上述内容组织为可交付的验证报告。本课题只关注工艺规程所描述的加工内容与工件几何状态之间的一致性。</w:t>
      </w:r>
    </w:p>
    <w:p w14:paraId="0C65FA13">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3.1 工艺规程与几何重演的概念界定</w:t>
      </w:r>
    </w:p>
    <w:p w14:paraId="30CBB929">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机械加工工艺规程是规定零件机械加工工艺过程和操作方法的工艺文件。它把零件图样上的设计要求转化为具体可执行的加工步骤，内容一般包括工序的划分与顺序、各工序的加工内容与加工方法、所使用的设备与工艺装备、切削用量以及检验要求等。在工艺规程的层级结构中，工序是基本的组成单元，一道工序还可以细分为安装、工位与工步。工序内容通常由工艺习惯用语写成，例如“车削 M27×2-6g 螺纹外径至 φ27mm、长 16mm，切槽 3mm×φ22mm”，其中既有工序语义，也隐含着尺寸、公差与几何方位信息。工艺规程的编制质量直接影响加工效率、制造成本与零件质量，而其中的工序遗漏、加工余量分配不当、尺寸链相互矛盾等问题往往要到试切甚至批量生产阶段才暴露出来，因此有必要在加工之前对工艺规程进行检验。</w:t>
      </w:r>
    </w:p>
    <w:p w14:paraId="144C2135">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本课题的几何重演，是指按照工艺规程给出的工序顺序，在三维实体模型上逐步执行材料去除操作、重演工件几何状态变化的过程。具体而言：把工艺规程中的每一道工序、每一个工步转换为参数化的材料去除操作；由该操作生成对应的去除体，例如车外圆对应一个圆环体、钻孔对应一个圆柱体；在几何内核上把去除体与当前工件做布尔差运算，得到该工序结束后的工件几何状态，即中间工序模型；重复上述过程直到最后一道工序，即可得到重演工件。几何重演有三个前提条件：一是工序内容能够被参数化为几何上可执行的操作，即语义到几何的映射必须明确；二是几何内核能够稳定地完成连续布尔运算并控制精度；三是各工序的加工内容必须统一到同一坐标系下，才能保证布尔运算施加在正确的部位。</w:t>
      </w:r>
    </w:p>
    <w:p w14:paraId="4491BD64">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3.2 规程描述与 STEP 对齐</w:t>
      </w:r>
    </w:p>
    <w:p w14:paraId="1E88C05B">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本模块的输入为工艺规程文本（包含工序号、工序名称与工序内容）、毛坯 STEP 模型与成品 STEP 模型，输出为与三维模型对齐的结构化工艺描述，即把每道工序、每个工步所描述的加工对象、目标尺寸与公差，对应到 STEP 模型中的具体几何区域与方位，并形成后续可执行的材料去除操作序列。研究内容包括：分析工序、工步文本的语义结构，建立工序信息到参数化材料去除操作的映射表示；设计面向车削、铣削、钻削、攻丝、切槽、热处理等典型工序的操作模式与参数模式，明确每种操作所需的加工部位、尺寸、公差、方位与基准等几何要素；对存在歧义或信息缺失的描述输出待确认项，形成机器解析与人工确认相结合的机制。</w:t>
      </w:r>
    </w:p>
    <w:p w14:paraId="02EE6AEC">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在解析方式上，采用大语言模型与工具调用相结合的智能体结构：模型负责语义理解与操作类型的判定，几何查询工具负责提供毛坯与成品的实际几何状态，二者交替进行，避免模型凭记忆臆测尺寸；解析结果要求以结构化格式输出，对每一步操作给出操作类型、加工部位、目标尺寸、公差与基准，并对同一部位在多道工序中的描述保持一致的命名。此外，还需要处理工艺规程中常见的工艺习惯表述，例如“车至 φ27”“按图加工”“倒角 1×45°”等省略写法，把其中隐含的尺寸与方位补全为确定的参数，减少人工确认的工作量。本模块的输出是几何重演模块的直接输入，其质量以解析准确率进行评价。</w:t>
      </w:r>
    </w:p>
    <w:p w14:paraId="65BB2B4E">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3.3 几何重演与材料去除</w:t>
      </w:r>
    </w:p>
    <w:p w14:paraId="768D0156">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本模块的输入为与三维模型对齐的操作序列与毛坯 STEP 模型，输出为各工序节点的中间工件 STEP 模型以及每一步材料去除操作的运算记录。研究内容包括：基于 FreeCAD 与 Open CASCADE 建立材料去除算子库，实现外圆车削、端面加工、切槽、螺纹（按中径建光柱）、钻孔、铰孔、铣六方、铣扁、倒角等操作的参数化建模；按工艺顺序在工件实体上执行布尔差运算，逐步重演出工件在各工序的几何状态，并导出该工序的中间工件模型。</w:t>
      </w:r>
    </w:p>
    <w:p w14:paraId="542C1686">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几何重演还需要解决四个问题：一是算子参数化，把操作模式中的尺寸、公差与方位换算为去除体的几何参数；二是运算顺序与误差控制，按先粗后精的顺序组织布尔运算，并在每道工序结束后及时清理已经封闭的小面与碎面，抑制连续布尔运算带来的累计误差；三是工序坐标系的建立与变换，为每道工序明确基准面与定位要素，用变换矩阵把去除体从工序坐标系转换到毛坯坐标系，再与工件做布尔差；四是过程记录，逐步记录操作类型、参数以及运算前后的体积与包围盒，形成可追溯的操作日志，为重演结果提供复核依据。</w:t>
      </w:r>
    </w:p>
    <w:p w14:paraId="3C7C0989">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3.4 工序附图生成</w:t>
      </w:r>
    </w:p>
    <w:p w14:paraId="5FA1BBAB">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本模块的输入为各工序的中间工件模型以及该工序的加工区域、关键尺寸等信息，输出为与工序一一对应的工序附图，由三维轴测图、关键尺寸标注、加工区域标识与工艺说明组成。研究内容包括：从重演过程中导出三维轴测图，必要时补充剖视图；在图上标注本工序的关键尺寸并框出加工区域；给出该工序的工艺说明，使工艺规程中的每一条工序都有对应的图形证据。</w:t>
      </w:r>
    </w:p>
    <w:p w14:paraId="45768AF5">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工序附图的生成需要解决几个问题：一是视图的组织，轴测图的方向、剖切位置与剖视图的数量需要按工序的加工特征自动确定，避免图形无法反映本工序的加工内容；二是标注的实现，关键尺寸的标注位置依据重演过程中记录的几何要素自动放置，加工区域</w:t>
      </w:r>
      <w:r>
        <w:rPr>
          <w:rFonts w:hint="eastAsia" w:eastAsiaTheme="minorEastAsia" w:cstheme="minorEastAsia"/>
          <w:b w:val="0"/>
          <w:sz w:val="24"/>
          <w:szCs w:val="24"/>
          <w:lang w:val="en-US" w:eastAsia="zh-CN"/>
        </w:rPr>
        <w:t>需要</w:t>
      </w:r>
      <w:r>
        <w:rPr>
          <w:rFonts w:hint="eastAsia" w:ascii="Times New Roman" w:hAnsi="Times New Roman" w:eastAsiaTheme="minorEastAsia" w:cstheme="minorEastAsia"/>
          <w:b w:val="0"/>
          <w:sz w:val="24"/>
          <w:szCs w:val="24"/>
        </w:rPr>
        <w:t>标识；三是图形与工序的对应关系，附图按工序号组织，与验证报告中的工序条目一一对应，便于工艺人员对照查看。</w:t>
      </w:r>
    </w:p>
    <w:p w14:paraId="7DBC85AA">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3.5 工艺验证</w:t>
      </w:r>
    </w:p>
    <w:p w14:paraId="0632FBB6">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本模块的输入为各工序的中间工件模型、重演得到的最终工件以及成品 STEP 模型与图样尺寸要求，输出为几何一致性的判定结论与异常工序的定位信息。研究内容包括：从体积、包围盒、关键尺寸与特征存在性等方面开展几何一致性检查，建立过切、无效加工与重复加工三类异常的判定准则与定位方法；检验最终模型与设计模型的一致性，并给出异常发生的工序位置与偏差量。</w:t>
      </w:r>
    </w:p>
    <w:p w14:paraId="335791EF">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在验证手段上采用多道校验：解析体积与实体体积比对用于确认实体构造的正确性，布尔差体积守恒检查用于确认每一步材料去除是否按预期执行，成品包围盒包含关系检查与关键尺寸比对用于确认最终工件是否满足图样要求，从磁盘读回 STEP 后的独立复检用于确认几何状态能够稳定复现。异常判定以关键尺寸偏差 0.1mm 为阈值，对每一项异常给出工序号、加工部位与偏差量；对于重演结论与人工复核不一致的案例，逐一分析原因并修正判定准则，使验证结论能够被工艺人员复核。</w:t>
      </w:r>
    </w:p>
    <w:p w14:paraId="0CA66852">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3.6 图文验证报告生成</w:t>
      </w:r>
    </w:p>
    <w:p w14:paraId="60554B7C">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本模块的输入为各工序的原始工艺信息、中间工件附图与工艺验证结论，输出为图文验证报告，可采用 PDF 或网页形式。研究内容包括：按工序组织报告内容，逐条给出原始工艺信息、中间工件附图与验证结论；在报告末尾汇总异常工序清单与几何一致性检查结果；同时输出中间 STEP 模型、去除体与操作日志等辅助文件，便于结果复核与过程追溯。</w:t>
      </w:r>
    </w:p>
    <w:p w14:paraId="0B1307EB">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报告的组织涉及三项工作：一是建立内容的对应关系，按工序号把原始工艺信息、中间工件附图与验证结论组织在一起，使每一条工序条目都能追溯到重演过程中记录的操作日志与几何检查结果；二是把异常信息具体化，对判为异常的工序给出加工部位、偏差量与判定依据，便于工艺人员据此决定修改哪一道工序；三是交付与归档，报告以 PDF 或网页形式输出，附图、模型与日志按工序号统一命名并随报告一并归档。</w:t>
      </w:r>
    </w:p>
    <w:p w14:paraId="36D02B11">
      <w:pPr>
        <w:spacing w:before="120" w:after="0"/>
        <w:ind w:firstLine="0"/>
        <w:jc w:val="center"/>
      </w:pPr>
      <w:r>
        <w:drawing>
          <wp:inline distT="0" distB="0" distL="114300" distR="114300">
            <wp:extent cx="5219700" cy="41713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220000" cy="4171391"/>
                    </a:xfrm>
                    <a:prstGeom prst="rect">
                      <a:avLst/>
                    </a:prstGeom>
                  </pic:spPr>
                </pic:pic>
              </a:graphicData>
            </a:graphic>
          </wp:inline>
        </w:drawing>
      </w:r>
    </w:p>
    <w:p w14:paraId="52555B33">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jc w:val="center"/>
        <w:textAlignment w:val="auto"/>
        <w:rPr>
          <w:rFonts w:hint="eastAsia" w:ascii="Times New Roman" w:hAnsi="Times New Roman" w:eastAsiaTheme="minorEastAsia" w:cstheme="minorEastAsia"/>
          <w:b w:val="0"/>
          <w:sz w:val="21"/>
          <w:szCs w:val="21"/>
        </w:rPr>
      </w:pPr>
      <w:r>
        <w:rPr>
          <w:rFonts w:hint="eastAsia" w:ascii="Times New Roman" w:hAnsi="Times New Roman" w:eastAsiaTheme="minorEastAsia" w:cstheme="minorEastAsia"/>
          <w:b w:val="0"/>
          <w:sz w:val="24"/>
          <w:szCs w:val="24"/>
        </w:rPr>
        <w:t>图 1  总体研究内容图</w:t>
      </w:r>
    </w:p>
    <w:p w14:paraId="4356D010">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p>
    <w:p w14:paraId="661B6664">
      <w:pPr>
        <w:pStyle w:val="9"/>
        <w:spacing w:before="120" w:after="120"/>
        <w:outlineLvl w:val="0"/>
        <w:rPr>
          <w:rFonts w:hint="eastAsia" w:ascii="Times New Roman" w:hAnsi="Times New Roman"/>
          <w:szCs w:val="28"/>
          <w:lang w:val="en-US" w:eastAsia="zh-CN"/>
        </w:rPr>
      </w:pPr>
    </w:p>
    <w:p w14:paraId="344D2EE2">
      <w:pPr>
        <w:pStyle w:val="9"/>
        <w:spacing w:before="120" w:after="120"/>
        <w:outlineLvl w:val="0"/>
        <w:rPr>
          <w:rFonts w:ascii="Times New Roman" w:hAnsi="Times New Roman"/>
          <w:szCs w:val="28"/>
        </w:rPr>
      </w:pPr>
      <w:r>
        <w:rPr>
          <w:rFonts w:hint="eastAsia" w:ascii="Times New Roman" w:hAnsi="Times New Roman"/>
          <w:szCs w:val="28"/>
          <w:lang w:val="en-US" w:eastAsia="zh-CN"/>
        </w:rPr>
        <w:t>4．研究方案</w:t>
      </w:r>
    </w:p>
    <w:p w14:paraId="727B68EE">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本课题遵循规程描述与 STEP 对齐、几何重演与材料去除、工序附图生成、工艺验证与报告生成的研究路线，具体方案如下。</w:t>
      </w:r>
    </w:p>
    <w:p w14:paraId="7EFC0661">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4.1 数据准备与规程结构化</w:t>
      </w:r>
    </w:p>
    <w:p w14:paraId="6079FA58">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整理一批典型工件的毛坯与成品三维模型以及与之对应的工艺文件，覆盖车削、铣削、钻削、攻丝、热处理等常见工序，作为解析与重演的实验载体；工艺规程按工序号、工序名称与工序内容三部分录入为结构化文本，作为解析模块的输入。同时按遗漏加工、过切、重复加工三类模式人工构造带标注的异常样本，用于评价异常识别能力。</w:t>
      </w:r>
    </w:p>
    <w:p w14:paraId="55817CCC">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4.2 规程描述与 STEP 对齐的实现</w:t>
      </w:r>
    </w:p>
    <w:p w14:paraId="3B9EDDDB">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由智能体（大语言模型配合工具调用）完成语义对齐：在提示中携带操作模式定义、参数模式与典型工步示例，要求模型以结构化的形式输出操作序列，明确操作类型、加工部位、目标尺寸、公差与基准；解析过程中允许智能体调用几何查询工具，读取毛坯与成品模型的现有直径、可用长度以及面与轴线等实际状态，避免仅凭文本臆测尺寸；对无法确定的内容输出待确认项，交由人工确认后继续。对齐结果以工序坐标系与变换矩阵的形式落到毛坯坐标系上，保证同一工步在模型与规程中指向同一部位。</w:t>
      </w:r>
    </w:p>
    <w:p w14:paraId="302C4084">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4.3 几何重演与材料去除算子库的实现</w:t>
      </w:r>
    </w:p>
    <w:p w14:paraId="08DDAF1F">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在 FreeCAD 的 Python 环境中调用 Open CASCADE 实现材料去除算子：每个算子由操作类型与参数驱动，生成对应的去除体并与当前工件做布尔差运算，形成该工序的中间工件；按照先粗后精的顺序组织运算，及时清理已经封闭的特征，减少多次布尔运算带来的累计误差；每一步操作记录操作类型、参数以及布尔运算前后的体积与包围盒，形成可追溯的操作日志，并导出该工序的中间 STEP 模型。</w:t>
      </w:r>
    </w:p>
    <w:p w14:paraId="22494033">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4.4 工序附图与报告的生成方式</w:t>
      </w:r>
    </w:p>
    <w:p w14:paraId="65FAF615">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由重演得到的中间工件模型生成三维轴测图，必要时补充剖视图，在图上标注本工序的关键尺寸并框出加工区域，再附上该工序的工艺说明，形成与工序号一一对应的工序附图。报告生成环节把原始工艺信息、工序附图与验证结论按工序组织起来，输出图文验证报告，并在末尾汇总异常工序清单与几何一致性检查结果，中间 STEP 模型、去除体与操作日志作为辅助文件一并提供。</w:t>
      </w:r>
    </w:p>
    <w:p w14:paraId="23DCD287">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4.5 工艺验证与一致性检查的实现</w:t>
      </w:r>
    </w:p>
    <w:p w14:paraId="217D3599">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采用多道手段校验重演结果：解析体积与实体体积比对、布尔差体积守恒检查、成品包围盒包含关系检查，以及从磁盘读回 STEP 后的独立复检，确保几何状态可追溯、可复核。在此基础上比对重演得到的最终工件与成品 STEP 模型及图样尺寸，以关键尺寸偏差 0.1mm 为阈值判定过切、无效加工与重复加工：最终工件与设计模型不一致、某道工序的去除体落在成品范围之内、同一加工部位被多次去除等情况，均判为异常，并定位到具体工序与偏差量。</w:t>
      </w:r>
    </w:p>
    <w:p w14:paraId="77BD63F5">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4.6 实验与评价</w:t>
      </w:r>
    </w:p>
    <w:p w14:paraId="11C5163C">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480"/>
        <w:textAlignment w:val="auto"/>
        <w:rPr>
          <w:rFonts w:hint="eastAsia" w:ascii="Times New Roman" w:hAnsi="Times New Roman" w:eastAsiaTheme="minorEastAsia" w:cstheme="minorEastAsia"/>
          <w:b w:val="0"/>
          <w:sz w:val="24"/>
          <w:szCs w:val="24"/>
        </w:rPr>
      </w:pPr>
      <w:r>
        <w:rPr>
          <w:rFonts w:hint="eastAsia" w:ascii="Times New Roman" w:hAnsi="Times New Roman" w:eastAsiaTheme="minorEastAsia" w:cstheme="minorEastAsia"/>
          <w:b w:val="0"/>
          <w:sz w:val="24"/>
          <w:szCs w:val="24"/>
        </w:rPr>
        <w:t>在典型工件及其异常样本上逐件开展实验，以工艺规程解析准确率、重演关键尺寸与图样尺寸的偏差、异常识别结果与人工复核结论的一致率为主要指标，记录指标并分析失败原因。</w:t>
      </w:r>
      <w:bookmarkStart w:id="0" w:name="_GoBack"/>
      <w:bookmarkEnd w:id="0"/>
    </w:p>
    <w:p w14:paraId="117F956B">
      <w:pPr>
        <w:pStyle w:val="9"/>
        <w:spacing w:before="120" w:after="120"/>
        <w:outlineLvl w:val="0"/>
        <w:rPr>
          <w:rFonts w:ascii="Times New Roman" w:hAnsi="Times New Roman"/>
          <w:szCs w:val="28"/>
        </w:rPr>
      </w:pPr>
      <w:r>
        <w:rPr>
          <w:rFonts w:ascii="Times New Roman" w:hAnsi="Times New Roman"/>
          <w:szCs w:val="28"/>
        </w:rPr>
        <w:t>5．进度安排，预期达到的目标</w:t>
      </w:r>
    </w:p>
    <w:p w14:paraId="2F336296">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5.1 进度安排</w:t>
      </w:r>
    </w:p>
    <w:p w14:paraId="42739083">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firstLine="480"/>
        <w:jc w:val="both"/>
        <w:textAlignment w:val="auto"/>
        <w:rPr>
          <w:rFonts w:hint="eastAsia" w:ascii="Times New Roman" w:hAnsi="Times New Roman" w:eastAsiaTheme="minorEastAsia" w:cstheme="minorEastAsia"/>
        </w:rPr>
      </w:pPr>
      <w:r>
        <w:rPr>
          <w:rFonts w:hint="eastAsia" w:ascii="Times New Roman" w:hAnsi="Times New Roman" w:eastAsiaTheme="minorEastAsia" w:cstheme="minorEastAsia"/>
          <w:b w:val="0"/>
          <w:sz w:val="24"/>
        </w:rPr>
        <w:t>根据任务书的要求，本课题的进度安排如下：</w:t>
      </w:r>
    </w:p>
    <w:p w14:paraId="3A43CEAB">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firstLine="0"/>
        <w:jc w:val="both"/>
        <w:textAlignment w:val="auto"/>
        <w:rPr>
          <w:rFonts w:hint="eastAsia" w:ascii="Times New Roman" w:hAnsi="Times New Roman" w:eastAsiaTheme="minorEastAsia" w:cstheme="minorEastAsia"/>
        </w:rPr>
      </w:pPr>
      <w:r>
        <w:rPr>
          <w:rFonts w:hint="eastAsia" w:ascii="Times New Roman" w:hAnsi="Times New Roman" w:eastAsiaTheme="minorEastAsia" w:cstheme="minorEastAsia"/>
          <w:b w:val="0"/>
          <w:sz w:val="24"/>
        </w:rPr>
        <w:t>开题检查前（2026 年 9 月—2026 年 10 月）：梳理机械加工工艺规程、中间工序模型生成、几何仿真与大语言模型智能体等相关文献；明确研究内容与技术路线；完成开题。</w:t>
      </w:r>
    </w:p>
    <w:p w14:paraId="24EBE9D4">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firstLine="0"/>
        <w:jc w:val="both"/>
        <w:textAlignment w:val="auto"/>
        <w:rPr>
          <w:rFonts w:hint="eastAsia" w:ascii="Times New Roman" w:hAnsi="Times New Roman" w:eastAsiaTheme="minorEastAsia" w:cstheme="minorEastAsia"/>
        </w:rPr>
      </w:pPr>
      <w:r>
        <w:rPr>
          <w:rFonts w:hint="eastAsia" w:ascii="Times New Roman" w:hAnsi="Times New Roman" w:eastAsiaTheme="minorEastAsia" w:cstheme="minorEastAsia"/>
          <w:b w:val="0"/>
          <w:sz w:val="24"/>
        </w:rPr>
        <w:t>开题至中期前（2026 年 10 月—2027 年 3 月）：完成材料去除算子库与几何重演内核、解析智能体的设计与实现；实现中间 STEP 模型的自动生成；开展初步实验并据此修正方案，中期检查前形成系统原型。</w:t>
      </w:r>
    </w:p>
    <w:p w14:paraId="3068BBA8">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firstLine="0"/>
        <w:jc w:val="both"/>
        <w:textAlignment w:val="auto"/>
        <w:rPr>
          <w:rFonts w:hint="eastAsia" w:ascii="Times New Roman" w:hAnsi="Times New Roman" w:eastAsiaTheme="minorEastAsia" w:cstheme="minorEastAsia"/>
        </w:rPr>
      </w:pPr>
      <w:r>
        <w:rPr>
          <w:rFonts w:hint="eastAsia" w:ascii="Times New Roman" w:hAnsi="Times New Roman" w:eastAsiaTheme="minorEastAsia" w:cstheme="minorEastAsia"/>
          <w:b w:val="0"/>
          <w:sz w:val="24"/>
        </w:rPr>
        <w:t>中期至结题前（2027 年 3 月—2027 年 5 月）：完成工序附图自动生成与几何一致性检查；在典型工件与异常样本上完成系统实验；完成论文、毕业设计与实验产物的定稿。</w:t>
      </w:r>
    </w:p>
    <w:p w14:paraId="48729E05">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5.2 预期达到的目标</w:t>
      </w:r>
    </w:p>
    <w:p w14:paraId="5DE0574B">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firstLine="480"/>
        <w:jc w:val="both"/>
        <w:textAlignment w:val="auto"/>
        <w:rPr>
          <w:rFonts w:hint="eastAsia" w:ascii="Times New Roman" w:hAnsi="Times New Roman" w:eastAsiaTheme="minorEastAsia" w:cstheme="minorEastAsia"/>
          <w:szCs w:val="28"/>
        </w:rPr>
      </w:pPr>
      <w:r>
        <w:rPr>
          <w:rFonts w:hint="eastAsia" w:ascii="Times New Roman" w:hAnsi="Times New Roman" w:eastAsiaTheme="minorEastAsia" w:cstheme="minorEastAsia"/>
          <w:b w:val="0"/>
          <w:sz w:val="24"/>
        </w:rPr>
        <w:t>完成一套基于智能体与几何重演的工艺规程验证系统；实现从工艺规程文本到参数化材料去除操作序列的自动解析；实现毛坯到成品的逐步几何重演，生成各工序中间 STEP 模型与工序附图；实现遗漏、过切、重复加工三类异常的自动识别与定位；输出图文工艺规程验证报告，并完成毕业论文。</w:t>
      </w:r>
    </w:p>
    <w:p w14:paraId="26937E4E">
      <w:pPr>
        <w:pStyle w:val="9"/>
        <w:spacing w:before="120" w:after="120"/>
        <w:outlineLvl w:val="0"/>
        <w:rPr>
          <w:rFonts w:ascii="Times New Roman" w:hAnsi="Times New Roman"/>
          <w:szCs w:val="28"/>
        </w:rPr>
      </w:pPr>
      <w:r>
        <w:rPr>
          <w:rFonts w:ascii="Times New Roman" w:hAnsi="Times New Roman"/>
          <w:szCs w:val="28"/>
        </w:rPr>
        <w:t>6．课题已具备和所需的条件、经费</w:t>
      </w:r>
    </w:p>
    <w:p w14:paraId="3F2A9175">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6.1 已具备的条件</w:t>
      </w:r>
    </w:p>
    <w:p w14:paraId="0A7BA673">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firstLine="480"/>
        <w:textAlignment w:val="auto"/>
        <w:rPr>
          <w:rFonts w:hint="eastAsia" w:ascii="Times New Roman" w:hAnsi="Times New Roman" w:eastAsiaTheme="minorEastAsia" w:cstheme="minorEastAsia"/>
          <w:lang w:eastAsia="zh-CN"/>
        </w:rPr>
      </w:pPr>
      <w:r>
        <w:rPr>
          <w:rFonts w:hint="eastAsia" w:ascii="Times New Roman" w:hAnsi="Times New Roman" w:eastAsiaTheme="minorEastAsia" w:cstheme="minorEastAsia"/>
          <w:b w:val="0"/>
          <w:sz w:val="24"/>
        </w:rPr>
        <w:t>已整理一批典型工件的毛坯与成品三维模型及配套工艺文件，并对几何模型逐件做过体积、包围盒与布尔包含关系的校验；已配置 VSCode、Python 与 FreeCAD 开发环境，FreeCAD 内含 Open CASCADE 几何内核，可通过 Python 脚本调用建模与布尔运算接口。</w:t>
      </w:r>
    </w:p>
    <w:p w14:paraId="1FD3DB00">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6.2 所需的条件</w:t>
      </w:r>
    </w:p>
    <w:p w14:paraId="45933C38">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firstLine="480"/>
        <w:textAlignment w:val="auto"/>
        <w:rPr>
          <w:rFonts w:hint="eastAsia" w:ascii="Times New Roman" w:hAnsi="Times New Roman" w:eastAsiaTheme="minorEastAsia" w:cstheme="minorEastAsia"/>
        </w:rPr>
      </w:pPr>
      <w:r>
        <w:rPr>
          <w:rFonts w:hint="eastAsia" w:ascii="Times New Roman" w:hAnsi="Times New Roman" w:eastAsiaTheme="minorEastAsia" w:cstheme="minorEastAsia"/>
          <w:b w:val="0"/>
          <w:sz w:val="24"/>
        </w:rPr>
        <w:t>LLM API 调用，用于智能体的工艺规程解析与工具调用；满足几何重演与实验需求的计算环境；工艺规程整理、异常样本构造、工序附图绘制与验证结果人工复核所需的时间与人力。</w:t>
      </w:r>
    </w:p>
    <w:p w14:paraId="658F0754">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6.3 经费</w:t>
      </w:r>
    </w:p>
    <w:p w14:paraId="65F80411">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firstLine="480"/>
        <w:textAlignment w:val="auto"/>
        <w:rPr>
          <w:rFonts w:hint="default" w:ascii="Times New Roman" w:hAnsi="Times New Roman" w:eastAsiaTheme="minorEastAsia" w:cstheme="minorEastAsia"/>
          <w:szCs w:val="28"/>
          <w:lang w:val="en-US" w:eastAsia="zh-CN"/>
        </w:rPr>
      </w:pPr>
      <w:r>
        <w:rPr>
          <w:rFonts w:hint="eastAsia" w:ascii="Times New Roman" w:hAnsi="Times New Roman" w:eastAsiaTheme="minorEastAsia" w:cstheme="minorEastAsia"/>
          <w:b w:val="0"/>
          <w:sz w:val="24"/>
        </w:rPr>
        <w:t>经费主要用于 LLM API 调用，预算约 300 元。</w:t>
      </w:r>
    </w:p>
    <w:p w14:paraId="7399469B">
      <w:pPr>
        <w:pStyle w:val="9"/>
        <w:spacing w:before="120" w:after="120"/>
        <w:ind w:left="0" w:leftChars="0" w:firstLine="0" w:firstLineChars="0"/>
        <w:outlineLvl w:val="0"/>
        <w:rPr>
          <w:rFonts w:ascii="Times New Roman" w:hAnsi="Times New Roman"/>
          <w:szCs w:val="28"/>
        </w:rPr>
      </w:pPr>
      <w:r>
        <w:rPr>
          <w:rFonts w:ascii="Times New Roman" w:hAnsi="Times New Roman"/>
          <w:szCs w:val="28"/>
        </w:rPr>
        <w:t>7．研究过程中可能遇到的困难和问题，解决的措施</w:t>
      </w:r>
    </w:p>
    <w:p w14:paraId="516A28A3">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7.1 工艺规程描述的歧义与隐含信息</w:t>
      </w:r>
    </w:p>
    <w:p w14:paraId="4DE71FA6">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firstLine="480"/>
        <w:textAlignment w:val="auto"/>
        <w:rPr>
          <w:rFonts w:hint="eastAsia" w:ascii="Times New Roman" w:hAnsi="Times New Roman" w:eastAsiaTheme="minorEastAsia" w:cstheme="minorEastAsia"/>
        </w:rPr>
      </w:pPr>
      <w:r>
        <w:rPr>
          <w:rFonts w:hint="eastAsia" w:ascii="Times New Roman" w:hAnsi="Times New Roman" w:eastAsiaTheme="minorEastAsia" w:cstheme="minorEastAsia"/>
          <w:b w:val="0"/>
          <w:sz w:val="24"/>
        </w:rPr>
        <w:t>工艺规程描述存在歧义与隐含信息，常出现省略基准、省略装夹方式、按工艺习惯描述加工部位等情况，直接影响材料去除操作的定位。解决措施：设计结构化的操作模式与参数模式约束解析范围；在提示中提供典型示例并引入检索增强，从已有案例中补充约定信息；对无法确定的内容不强行推断，而是输出待确认项，形成机器解析与人工确认的闭环。</w:t>
      </w:r>
    </w:p>
    <w:p w14:paraId="4D6DCD23">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7.2 布尔运算的稳健性与精度控制</w:t>
      </w:r>
    </w:p>
    <w:p w14:paraId="0DFBB00E">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firstLine="480"/>
        <w:textAlignment w:val="auto"/>
        <w:rPr>
          <w:rFonts w:hint="eastAsia" w:ascii="Times New Roman" w:hAnsi="Times New Roman" w:eastAsiaTheme="minorEastAsia" w:cstheme="minorEastAsia"/>
        </w:rPr>
      </w:pPr>
      <w:r>
        <w:rPr>
          <w:rFonts w:hint="eastAsia" w:ascii="Times New Roman" w:hAnsi="Times New Roman" w:eastAsiaTheme="minorEastAsia" w:cstheme="minorEastAsia"/>
          <w:b w:val="0"/>
          <w:sz w:val="24"/>
        </w:rPr>
        <w:t>连续多次布尔运算的稳健性与精度控制，可能带来精度损失或产生微小碎面，影响后续操作与尺寸测量。解决措施：按先粗后精的方式组织运算，及时清理已封闭的特征；采用解析体积比对、布尔差体积守恒、包围盒包含关系与磁盘读回复检等多道校验；设置 0.1mm 的尺寸偏差阈值，对超出阈值的结果进行人工复核与降级处理。</w:t>
      </w:r>
    </w:p>
    <w:p w14:paraId="490D658B">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7.3 工序间基准与装夹变换</w:t>
      </w:r>
    </w:p>
    <w:p w14:paraId="5D5A236E">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firstLine="480"/>
        <w:textAlignment w:val="auto"/>
        <w:rPr>
          <w:rFonts w:hint="eastAsia" w:ascii="Times New Roman" w:hAnsi="Times New Roman" w:eastAsiaTheme="minorEastAsia" w:cstheme="minorEastAsia"/>
        </w:rPr>
      </w:pPr>
      <w:r>
        <w:rPr>
          <w:rFonts w:hint="eastAsia" w:ascii="Times New Roman" w:hAnsi="Times New Roman" w:eastAsiaTheme="minorEastAsia" w:cstheme="minorEastAsia"/>
          <w:b w:val="0"/>
          <w:sz w:val="24"/>
        </w:rPr>
        <w:t>工序间基准与装夹变换的处理，工件在工序间会经历掉头、更换基准等装夹变化，几何模型的方位也随之改变。解决措施：为每道工序建立工序坐标系，明确基准面与定位要素，用统一的变换矩阵把各工序的加工内容映射到毛坯坐标系中，避免因坐标系不一致造成过切或漏切的误判。</w:t>
      </w:r>
    </w:p>
    <w:p w14:paraId="5010AA04">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7.4 智能体输出的稳定性与可复现性</w:t>
      </w:r>
    </w:p>
    <w:p w14:paraId="08D45FD5">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firstLine="480"/>
        <w:textAlignment w:val="auto"/>
        <w:rPr>
          <w:rFonts w:hint="eastAsia" w:ascii="Times New Roman" w:hAnsi="Times New Roman" w:eastAsiaTheme="minorEastAsia" w:cstheme="minorEastAsia"/>
        </w:rPr>
      </w:pPr>
      <w:r>
        <w:rPr>
          <w:rFonts w:hint="eastAsia" w:ascii="Times New Roman" w:hAnsi="Times New Roman" w:eastAsiaTheme="minorEastAsia" w:cstheme="minorEastAsia"/>
          <w:b w:val="0"/>
          <w:sz w:val="24"/>
        </w:rPr>
        <w:t>智能体输出的稳定性与可复现性，语言模型的输出存在一定随机性，同一段工艺文本可能得到不同的解析结果。解决措施：采用结构化输出约束与固定的解析流程，把解析结果固化为操作序列文件；对同一输入进行多次解析对比，建立回归测试用例，保证同类问题的处理方式一致。</w:t>
      </w:r>
    </w:p>
    <w:p w14:paraId="1157BB59">
      <w:pPr>
        <w:keepNext w:val="0"/>
        <w:keepLines w:val="0"/>
        <w:pageBreakBefore w:val="0"/>
        <w:widowControl w:val="0"/>
        <w:kinsoku/>
        <w:wordWrap/>
        <w:overflowPunct/>
        <w:topLinePunct w:val="0"/>
        <w:autoSpaceDE/>
        <w:autoSpaceDN/>
        <w:bidi w:val="0"/>
        <w:adjustRightInd/>
        <w:spacing w:before="0" w:beforeLines="0" w:after="0" w:afterLines="0" w:line="300" w:lineRule="auto"/>
        <w:ind w:firstLine="0" w:firstLineChars="0"/>
        <w:textAlignment w:val="auto"/>
        <w:outlineLvl w:val="1"/>
        <w:rPr>
          <w:rFonts w:hint="eastAsia" w:ascii="Times New Roman" w:hAnsi="Times New Roman" w:eastAsia="黑体"/>
          <w:b w:val="0"/>
          <w:sz w:val="24"/>
          <w:szCs w:val="24"/>
        </w:rPr>
      </w:pPr>
      <w:r>
        <w:rPr>
          <w:rFonts w:hint="eastAsia" w:ascii="Times New Roman" w:hAnsi="Times New Roman" w:eastAsia="黑体"/>
          <w:b w:val="0"/>
          <w:sz w:val="24"/>
          <w:szCs w:val="24"/>
        </w:rPr>
        <w:t>7.5 验证结果评价标准的量化</w:t>
      </w:r>
    </w:p>
    <w:p w14:paraId="4B290A00">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firstLine="480"/>
        <w:textAlignment w:val="auto"/>
        <w:rPr>
          <w:rFonts w:hint="eastAsia" w:ascii="Times New Roman" w:hAnsi="Times New Roman" w:eastAsiaTheme="minorEastAsia" w:cstheme="minorEastAsia"/>
          <w:szCs w:val="28"/>
        </w:rPr>
      </w:pPr>
      <w:r>
        <w:rPr>
          <w:rFonts w:hint="eastAsia" w:ascii="Times New Roman" w:hAnsi="Times New Roman" w:eastAsiaTheme="minorEastAsia" w:cstheme="minorEastAsia"/>
          <w:b w:val="0"/>
          <w:sz w:val="24"/>
        </w:rPr>
        <w:t>验证结果的评价标准不易量化，几何一致性检查的结论与人工判断之间可能存在差异。解决措施：按遗漏、过切、重复加工三类模式构造带标注的异常样本集，以异常识别结果与人工复核的一致率作为量化指标，并对不一致的案例逐一分析原因，改进判定准则。</w:t>
      </w:r>
    </w:p>
    <w:p w14:paraId="46D00CE1">
      <w:pPr>
        <w:pStyle w:val="9"/>
        <w:spacing w:before="120" w:after="120"/>
        <w:outlineLvl w:val="0"/>
        <w:rPr>
          <w:rFonts w:ascii="Times New Roman" w:hAnsi="Times New Roman"/>
          <w:szCs w:val="28"/>
        </w:rPr>
      </w:pPr>
      <w:r>
        <w:rPr>
          <w:rFonts w:ascii="Times New Roman" w:hAnsi="Times New Roman"/>
          <w:szCs w:val="28"/>
        </w:rPr>
        <w:t>8．主要参考文献</w:t>
      </w:r>
    </w:p>
    <w:p w14:paraId="72506A40">
      <w:pPr>
        <w:spacing w:before="0" w:after="0" w:line="300" w:lineRule="auto"/>
        <w:ind w:firstLine="0"/>
        <w:rPr>
          <w:rFonts w:ascii="Times New Roman" w:hAnsi="Times New Roman"/>
        </w:rPr>
      </w:pPr>
      <w:r>
        <w:rPr>
          <w:rFonts w:ascii="Times New Roman" w:hAnsi="Times New Roman" w:eastAsia="宋体"/>
          <w:b w:val="0"/>
          <w:sz w:val="24"/>
        </w:rPr>
        <w:t>[1] 刘金锋, 倪中华, 刘晓军, 等. 三维机加工艺工序间模型快速创建方法. 计算机集成制造系统. 2014，20（7）：1546-1552.</w:t>
      </w:r>
    </w:p>
    <w:p w14:paraId="02BC4F50">
      <w:pPr>
        <w:spacing w:before="0" w:after="0" w:line="300" w:lineRule="auto"/>
        <w:ind w:firstLine="0"/>
        <w:rPr>
          <w:rFonts w:ascii="Times New Roman" w:hAnsi="Times New Roman"/>
        </w:rPr>
      </w:pPr>
      <w:r>
        <w:rPr>
          <w:rFonts w:ascii="Times New Roman" w:hAnsi="Times New Roman" w:eastAsia="宋体"/>
          <w:b w:val="0"/>
          <w:sz w:val="24"/>
        </w:rPr>
        <w:t>[2] 张辉, 刘华昌, 张胜文, 等. 复杂零件三维中间工序模型逆向生成技术. 计算机集成制造系统. 2015，21（5）：1216-1221.</w:t>
      </w:r>
    </w:p>
    <w:p w14:paraId="60E8B82D">
      <w:pPr>
        <w:spacing w:before="0" w:after="0" w:line="300" w:lineRule="auto"/>
        <w:ind w:firstLine="0"/>
        <w:rPr>
          <w:rFonts w:ascii="Times New Roman" w:hAnsi="Times New Roman"/>
        </w:rPr>
      </w:pPr>
      <w:r>
        <w:rPr>
          <w:rFonts w:ascii="Times New Roman" w:hAnsi="Times New Roman" w:eastAsia="宋体"/>
          <w:b w:val="0"/>
          <w:sz w:val="24"/>
        </w:rPr>
        <w:t>[3] 方舟, 黄瑞, 黄波, 等. 融合加工特征工艺的零件数控加工工艺生成方法. 计算机集成制造系统. 2025，31（9）：3159-3173.</w:t>
      </w:r>
    </w:p>
    <w:p w14:paraId="497651BF">
      <w:pPr>
        <w:spacing w:before="0" w:after="0" w:line="300" w:lineRule="auto"/>
        <w:ind w:firstLine="0"/>
        <w:rPr>
          <w:rFonts w:ascii="Times New Roman" w:hAnsi="Times New Roman"/>
        </w:rPr>
      </w:pPr>
      <w:r>
        <w:rPr>
          <w:rFonts w:ascii="Times New Roman" w:hAnsi="Times New Roman" w:eastAsia="宋体"/>
          <w:b w:val="0"/>
          <w:sz w:val="24"/>
        </w:rPr>
        <w:t>[4] 牛帅, 仝晓萌, 蔡茂林, 等. 面向智能制造的数控加工工艺重用关键技术：系统回顾. 机械工程学报. 2025，61（20）：301-317.</w:t>
      </w:r>
    </w:p>
    <w:p w14:paraId="5492A959">
      <w:pPr>
        <w:spacing w:before="0" w:after="0" w:line="300" w:lineRule="auto"/>
        <w:ind w:firstLine="0"/>
        <w:rPr>
          <w:rFonts w:ascii="Times New Roman" w:hAnsi="Times New Roman"/>
        </w:rPr>
      </w:pPr>
      <w:r>
        <w:rPr>
          <w:rFonts w:ascii="Times New Roman" w:hAnsi="Times New Roman" w:eastAsia="宋体"/>
          <w:b w:val="0"/>
          <w:sz w:val="24"/>
        </w:rPr>
        <w:t>[5] 高书颜, 黄明坤, 黄涛, 等. 五轴加工通用刀具切触区高效计算及切削力预测. 机械工程学报. 2025，61（9）：132-141.</w:t>
      </w:r>
    </w:p>
    <w:p w14:paraId="40647339">
      <w:pPr>
        <w:spacing w:before="0" w:after="0" w:line="300" w:lineRule="auto"/>
        <w:ind w:firstLine="0"/>
        <w:rPr>
          <w:rFonts w:ascii="Times New Roman" w:hAnsi="Times New Roman"/>
        </w:rPr>
      </w:pPr>
      <w:r>
        <w:rPr>
          <w:rFonts w:ascii="Times New Roman" w:hAnsi="Times New Roman" w:eastAsia="宋体"/>
          <w:b w:val="0"/>
          <w:sz w:val="24"/>
        </w:rPr>
        <w:t>[6] 张荣闯, 李明. 基于曲面修剪的直齿轮铣削刀具与工件切触区域的计算. 东北大学学报（自然科学版）. 2025，46（9）：87-94.</w:t>
      </w:r>
    </w:p>
    <w:p w14:paraId="1885154B">
      <w:pPr>
        <w:spacing w:before="0" w:after="0" w:line="300" w:lineRule="auto"/>
        <w:ind w:firstLine="0"/>
        <w:rPr>
          <w:rFonts w:ascii="Times New Roman" w:hAnsi="Times New Roman"/>
        </w:rPr>
      </w:pPr>
      <w:r>
        <w:rPr>
          <w:rFonts w:ascii="Times New Roman" w:hAnsi="Times New Roman" w:eastAsia="宋体"/>
          <w:b w:val="0"/>
          <w:sz w:val="24"/>
        </w:rPr>
        <w:t>[7] 张俊, 李怡, 汤伟民, 等. 基于边界几何方法的铣削加工仿真. 机械工程学报. 2025，61（13）：418-428.</w:t>
      </w:r>
    </w:p>
    <w:p w14:paraId="0B6B65EE">
      <w:pPr>
        <w:spacing w:before="0" w:after="0" w:line="300" w:lineRule="auto"/>
        <w:ind w:firstLine="0"/>
        <w:rPr>
          <w:rFonts w:ascii="Times New Roman" w:hAnsi="Times New Roman"/>
        </w:rPr>
      </w:pPr>
      <w:r>
        <w:rPr>
          <w:rFonts w:ascii="Times New Roman" w:hAnsi="Times New Roman" w:eastAsia="宋体"/>
          <w:b w:val="0"/>
          <w:sz w:val="24"/>
        </w:rPr>
        <w:t>[8] 聂鹏飞, 屠未一, 王成瀚, 等. 基于几何-物理-运动协同仿真的智能机床工艺自主优化方法. 制造技术与机床. 2026（4）：44-51.</w:t>
      </w:r>
    </w:p>
    <w:p w14:paraId="028CECB5">
      <w:pPr>
        <w:spacing w:before="0" w:after="0" w:line="300" w:lineRule="auto"/>
        <w:ind w:firstLine="0"/>
        <w:rPr>
          <w:rFonts w:ascii="Times New Roman" w:hAnsi="Times New Roman"/>
        </w:rPr>
      </w:pPr>
      <w:r>
        <w:rPr>
          <w:rFonts w:ascii="Times New Roman" w:hAnsi="Times New Roman" w:eastAsia="宋体"/>
          <w:b w:val="0"/>
          <w:sz w:val="24"/>
        </w:rPr>
        <w:t>[9] Yao S Y, Zhao J, Yu D, et al. ReAct: Synergizing reasoning and acting in language models. Proceedings of the 11th International Conference on Learning Representations (ICLR). 2023.</w:t>
      </w:r>
    </w:p>
    <w:p w14:paraId="235B2EF0">
      <w:pPr>
        <w:spacing w:before="0" w:after="0" w:line="300" w:lineRule="auto"/>
        <w:ind w:firstLine="0"/>
        <w:rPr>
          <w:rFonts w:ascii="Times New Roman" w:hAnsi="Times New Roman"/>
        </w:rPr>
      </w:pPr>
      <w:r>
        <w:rPr>
          <w:rFonts w:ascii="Times New Roman" w:hAnsi="Times New Roman" w:eastAsia="宋体"/>
          <w:b w:val="0"/>
          <w:sz w:val="24"/>
        </w:rPr>
        <w:t>[10] Chen W H, Ma X G, Wang X Y, et al. Program of thoughts prompting: Disentangling computation from reasoning for numerical reasoning tasks. Transactions on Machine Learning Research (TMLR). 2023.</w:t>
      </w:r>
    </w:p>
    <w:p w14:paraId="0D38D4F1">
      <w:pPr>
        <w:spacing w:before="0" w:after="0" w:line="300" w:lineRule="auto"/>
        <w:ind w:firstLine="0"/>
        <w:rPr>
          <w:rFonts w:ascii="Times New Roman" w:hAnsi="Times New Roman"/>
        </w:rPr>
      </w:pPr>
      <w:r>
        <w:rPr>
          <w:rFonts w:ascii="Times New Roman" w:hAnsi="Times New Roman" w:eastAsia="宋体"/>
          <w:b w:val="0"/>
          <w:sz w:val="24"/>
        </w:rPr>
        <w:t>[11] Wang L, Ma C, Feng X Y, et al. A survey on large language model based autonomous agents. Frontiers of Computer Science. 2024，18（6）：186345.</w:t>
      </w:r>
    </w:p>
    <w:p w14:paraId="7B963872">
      <w:pPr>
        <w:spacing w:before="0" w:after="0" w:line="300" w:lineRule="auto"/>
        <w:ind w:firstLine="0"/>
        <w:rPr>
          <w:rFonts w:ascii="Times New Roman" w:hAnsi="Times New Roman"/>
        </w:rPr>
      </w:pPr>
      <w:r>
        <w:rPr>
          <w:rFonts w:ascii="Times New Roman" w:hAnsi="Times New Roman" w:eastAsia="宋体"/>
          <w:b w:val="0"/>
          <w:sz w:val="24"/>
        </w:rPr>
        <w:t>[12] Hoang D, Gorsich D, Castanier M P, et al. Knowledge graph fusion with large language models for accurate, explainable manufacturing process planning. International Journal of Production Economics. 2026，300：110091.</w:t>
      </w:r>
    </w:p>
    <w:p w14:paraId="686E3E18">
      <w:pPr>
        <w:spacing w:before="0" w:after="0" w:line="300" w:lineRule="auto"/>
        <w:ind w:firstLine="0"/>
        <w:rPr>
          <w:rFonts w:ascii="Times New Roman" w:hAnsi="Times New Roman"/>
        </w:rPr>
      </w:pPr>
      <w:r>
        <w:rPr>
          <w:rFonts w:ascii="Times New Roman" w:hAnsi="Times New Roman" w:eastAsia="宋体"/>
          <w:b w:val="0"/>
          <w:sz w:val="24"/>
        </w:rPr>
        <w:t>[13] 姜禹辰, 王裴岩, 余卓, 等. 面向工艺规范的文档树结构检索增强生成方法. 计算机集成制造系统. 2026，32（1）：131-144.</w:t>
      </w:r>
    </w:p>
    <w:p w14:paraId="4BEE29F1">
      <w:pPr>
        <w:spacing w:before="0" w:after="0" w:line="300" w:lineRule="auto"/>
        <w:ind w:firstLine="0"/>
        <w:rPr>
          <w:rFonts w:ascii="Times New Roman" w:hAnsi="Times New Roman"/>
        </w:rPr>
      </w:pPr>
      <w:r>
        <w:rPr>
          <w:rFonts w:ascii="Times New Roman" w:hAnsi="Times New Roman" w:eastAsia="宋体"/>
          <w:b w:val="0"/>
          <w:sz w:val="24"/>
        </w:rPr>
        <w:t>[14] 张华, 张美航, 鄢威, 等. 基于混合微调大模型的变工况机械加工能耗预测方法. 计算机集成制造系统. 2025，31（12）：4441-4458.</w:t>
      </w:r>
    </w:p>
    <w:p w14:paraId="3226BD8D">
      <w:pPr>
        <w:spacing w:before="0" w:after="0" w:line="300" w:lineRule="auto"/>
        <w:ind w:firstLine="0"/>
        <w:rPr>
          <w:rFonts w:ascii="Times New Roman" w:hAnsi="Times New Roman"/>
        </w:rPr>
      </w:pPr>
      <w:r>
        <w:rPr>
          <w:rFonts w:ascii="Times New Roman" w:hAnsi="Times New Roman" w:eastAsia="宋体"/>
          <w:b w:val="0"/>
          <w:sz w:val="24"/>
        </w:rPr>
        <w:t>[15] 王晓东, 陈成军, 代成刚, 等. 基于多源装配知识融合与装配智能体的机器人装配方法. 计算机集成制造系统. 2026，32（8）：2692-2704.</w:t>
      </w:r>
    </w:p>
    <w:p w14:paraId="0EF78748">
      <w:pPr>
        <w:spacing w:before="0" w:after="0" w:line="300" w:lineRule="auto"/>
        <w:ind w:firstLine="0"/>
        <w:rPr>
          <w:rFonts w:ascii="Times New Roman" w:hAnsi="Times New Roman"/>
        </w:rPr>
      </w:pPr>
      <w:r>
        <w:rPr>
          <w:rFonts w:ascii="Times New Roman" w:hAnsi="Times New Roman" w:eastAsia="宋体"/>
          <w:b w:val="0"/>
          <w:sz w:val="24"/>
        </w:rPr>
        <w:t>[16] 王荣, 陈成军, 代成刚, 等. 基于知识图谱提示与思维链反思的机器人装配任务规划方法. 计算机集成制造系统. 2026，32（7）：2346-2357.</w:t>
      </w:r>
    </w:p>
    <w:p w14:paraId="6703120E">
      <w:pPr>
        <w:spacing w:before="0" w:after="0" w:line="300" w:lineRule="auto"/>
        <w:ind w:firstLine="0"/>
        <w:rPr>
          <w:rFonts w:ascii="Times New Roman" w:hAnsi="Times New Roman"/>
        </w:rPr>
      </w:pPr>
      <w:r>
        <w:rPr>
          <w:rFonts w:ascii="Times New Roman" w:hAnsi="Times New Roman" w:eastAsia="宋体"/>
          <w:b w:val="0"/>
          <w:sz w:val="24"/>
        </w:rPr>
        <w:t>[17] Xie Y L, Liu J H, Wang R W, et al. Rapid generation method of process routes based on multi-agent collaboration with LLMs. Advanced Engineering Informatics. 2025，68：103733.</w:t>
      </w:r>
    </w:p>
    <w:p w14:paraId="3DC4A0F4">
      <w:pPr>
        <w:spacing w:before="0" w:after="0" w:line="300" w:lineRule="auto"/>
        <w:ind w:firstLine="0"/>
        <w:rPr>
          <w:rFonts w:ascii="Times New Roman" w:hAnsi="Times New Roman"/>
        </w:rPr>
      </w:pPr>
      <w:r>
        <w:rPr>
          <w:rFonts w:ascii="Times New Roman" w:hAnsi="Times New Roman" w:eastAsia="宋体"/>
          <w:b w:val="0"/>
          <w:sz w:val="24"/>
        </w:rPr>
        <w:t>[18] Lambourne J G, Willis K D D, Jayaraman P K, et al. BRepNet: A topological message passing system for solid models. Proceedings of the IEEE/CVF Conference on Computer Vision and Pattern Recognition (CVPR). 2021：12773-12782.</w:t>
      </w:r>
    </w:p>
    <w:p w14:paraId="3CD5148C">
      <w:pPr>
        <w:spacing w:before="0" w:after="0" w:line="300" w:lineRule="auto"/>
        <w:ind w:firstLine="0"/>
        <w:rPr>
          <w:rFonts w:ascii="Times New Roman" w:hAnsi="Times New Roman"/>
        </w:rPr>
      </w:pPr>
      <w:r>
        <w:rPr>
          <w:rFonts w:ascii="Times New Roman" w:hAnsi="Times New Roman" w:eastAsia="宋体"/>
          <w:b w:val="0"/>
          <w:sz w:val="24"/>
        </w:rPr>
        <w:t>[19] Khan M S, Sinha S, Sheikh T U, et al. Text2CAD: Generating sequential CAD designs from beginner-to-expert level text prompts. Advances in Neural Information Processing Systems 37 (NeurIPS 2024). 2024：7552-7579.</w:t>
      </w:r>
    </w:p>
    <w:p w14:paraId="7E0CE022">
      <w:pPr>
        <w:spacing w:before="0" w:after="0" w:line="300" w:lineRule="auto"/>
        <w:ind w:firstLine="0"/>
        <w:rPr>
          <w:rFonts w:ascii="Times New Roman" w:hAnsi="Times New Roman"/>
        </w:rPr>
      </w:pPr>
      <w:r>
        <w:rPr>
          <w:rFonts w:ascii="Times New Roman" w:hAnsi="Times New Roman" w:eastAsia="宋体"/>
          <w:b w:val="0"/>
          <w:sz w:val="24"/>
        </w:rPr>
        <w:t>[20] Zhang L C, Le B, Akhtar N, et al. Large language models for computer-aided design: A survey. ACM Computing Surveys. 2026，58（9）：1-39.</w:t>
      </w:r>
    </w:p>
    <w:p w14:paraId="1DF3F26F">
      <w:pPr>
        <w:spacing w:before="0" w:after="0" w:line="300" w:lineRule="auto"/>
        <w:ind w:firstLine="0"/>
        <w:rPr>
          <w:rFonts w:ascii="Times New Roman" w:hAnsi="Times New Roman"/>
        </w:rPr>
      </w:pPr>
      <w:r>
        <w:rPr>
          <w:rFonts w:ascii="Times New Roman" w:hAnsi="Times New Roman" w:eastAsia="宋体"/>
          <w:b w:val="0"/>
          <w:sz w:val="24"/>
        </w:rPr>
        <w:t>[21] Jayaraman P K, Sanghi A, Lambourne J G, et al. UV-Net: Learning from boundary representations. Proceedings of the IEEE/CVF Conference on Computer Vision and Pattern Recognition (CVPR). 2021：11703-11712.</w:t>
      </w:r>
    </w:p>
    <w:p w14:paraId="6C975C25">
      <w:pPr>
        <w:spacing w:before="0" w:after="0" w:line="300" w:lineRule="auto"/>
        <w:ind w:firstLine="0"/>
        <w:rPr>
          <w:rFonts w:ascii="Times New Roman" w:hAnsi="Times New Roman"/>
        </w:rPr>
      </w:pPr>
      <w:r>
        <w:rPr>
          <w:rFonts w:ascii="Times New Roman" w:hAnsi="Times New Roman" w:eastAsia="宋体"/>
          <w:b w:val="0"/>
          <w:sz w:val="24"/>
        </w:rPr>
        <w:t>[22] Yao S Y, Yu D, Zhao J, et al. Tree of thoughts: Deliberate problem solving with large language models. Advances in Neural Information Processing Systems 36 (NeurIPS 2023). 2023：11809-11822.</w:t>
      </w:r>
    </w:p>
    <w:p w14:paraId="48B4F1CC">
      <w:pPr>
        <w:spacing w:before="0" w:after="0" w:line="300" w:lineRule="auto"/>
        <w:ind w:firstLine="0"/>
        <w:rPr>
          <w:rFonts w:ascii="Times New Roman" w:hAnsi="Times New Roman"/>
        </w:rPr>
      </w:pPr>
      <w:r>
        <w:rPr>
          <w:rFonts w:ascii="Times New Roman" w:hAnsi="Times New Roman" w:eastAsia="宋体"/>
          <w:b w:val="0"/>
          <w:sz w:val="24"/>
        </w:rPr>
        <w:t>[23] Schick T, Dwivedi-Yu J, Dessì R, et al. Toolformer: Language models can teach themselves to use tools. Advances in Neural Information Processing Systems 36 (NeurIPS 2023). 2023：68539-68551.</w:t>
      </w:r>
    </w:p>
    <w:p w14:paraId="2E0636D7">
      <w:pPr>
        <w:spacing w:before="60" w:after="60"/>
        <w:ind w:firstLine="0" w:firstLineChars="0"/>
        <w:rPr>
          <w:rFonts w:hint="eastAsia"/>
          <w:color w:val="000000"/>
        </w:rPr>
      </w:pPr>
    </w:p>
    <w:p w14:paraId="661AEF6F">
      <w:pPr>
        <w:spacing w:before="60" w:after="60"/>
        <w:ind w:firstLine="0" w:firstLineChars="0"/>
        <w:rPr>
          <w:rFonts w:hint="eastAsia"/>
          <w:color w:val="000000"/>
        </w:rPr>
      </w:pPr>
    </w:p>
    <w:p w14:paraId="385459AA"/>
    <w:sectPr>
      <w:headerReference r:id="rId7" w:type="first"/>
      <w:footerReference r:id="rId10" w:type="first"/>
      <w:headerReference r:id="rId5" w:type="default"/>
      <w:footerReference r:id="rId8" w:type="default"/>
      <w:headerReference r:id="rId6" w:type="even"/>
      <w:footerReference r:id="rId9" w:type="even"/>
      <w:pgSz w:w="11906" w:h="16838"/>
      <w:pgMar w:top="1304" w:right="1304" w:bottom="1304" w:left="1304" w:header="0" w:footer="0" w:gutter="0"/>
      <w:pgNumType w:start="1"/>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173F1">
    <w:pPr>
      <w:pStyle w:val="2"/>
      <w:spacing w:before="60" w:after="6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615C0">
    <w:pPr>
      <w:pStyle w:val="2"/>
      <w:framePr w:wrap="around" w:vAnchor="text" w:hAnchor="margin" w:xAlign="center" w:y="1"/>
      <w:spacing w:before="60" w:after="60"/>
      <w:ind w:firstLine="360"/>
      <w:rPr>
        <w:rStyle w:val="6"/>
      </w:rPr>
    </w:pPr>
    <w:r>
      <w:rPr>
        <w:rStyle w:val="6"/>
      </w:rPr>
      <w:fldChar w:fldCharType="begin"/>
    </w:r>
    <w:r>
      <w:rPr>
        <w:rStyle w:val="6"/>
      </w:rPr>
      <w:instrText xml:space="preserve">PAGE  </w:instrText>
    </w:r>
    <w:r>
      <w:rPr>
        <w:rStyle w:val="6"/>
      </w:rPr>
      <w:fldChar w:fldCharType="end"/>
    </w:r>
  </w:p>
  <w:p w14:paraId="41CB735D">
    <w:pPr>
      <w:pStyle w:val="2"/>
      <w:spacing w:before="60" w:after="60"/>
      <w:ind w:left="392"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3D6DA">
    <w:pPr>
      <w:pStyle w:val="2"/>
      <w:spacing w:before="60" w:after="60"/>
      <w:ind w:left="392"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80"/>
      </w:pPr>
      <w:r>
        <w:separator/>
      </w:r>
    </w:p>
  </w:footnote>
  <w:footnote w:type="continuationSeparator" w:id="1">
    <w:p>
      <w:pPr>
        <w:spacing w:before="0" w:after="0"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4F2EF">
    <w:pPr>
      <w:pStyle w:val="3"/>
      <w:spacing w:before="60"/>
      <w:ind w:left="392"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EE142">
    <w:pPr>
      <w:spacing w:before="60" w:after="60"/>
      <w:ind w:left="523" w:firstLine="480"/>
    </w:pPr>
  </w:p>
  <w:p w14:paraId="11ACD4E8">
    <w:pPr>
      <w:spacing w:before="60" w:after="60"/>
      <w:ind w:left="523" w:firstLine="480"/>
    </w:pPr>
  </w:p>
  <w:p w14:paraId="12AE07E4">
    <w:pPr>
      <w:spacing w:before="60" w:after="60"/>
      <w:ind w:left="523" w:firstLine="480"/>
    </w:pPr>
  </w:p>
  <w:p w14:paraId="22F9C818">
    <w:pPr>
      <w:spacing w:before="60" w:after="60"/>
      <w:ind w:left="523" w:firstLine="480"/>
    </w:pPr>
  </w:p>
  <w:p w14:paraId="241110AF">
    <w:pPr>
      <w:spacing w:before="60" w:after="60"/>
      <w:ind w:left="523" w:firstLine="480"/>
    </w:pPr>
  </w:p>
  <w:p w14:paraId="66A4D28A">
    <w:pPr>
      <w:spacing w:before="60" w:after="60"/>
      <w:ind w:left="523" w:firstLine="480"/>
    </w:pPr>
  </w:p>
  <w:p w14:paraId="3BAF9BBE">
    <w:pPr>
      <w:spacing w:before="60" w:after="60"/>
      <w:ind w:left="523" w:firstLine="480"/>
    </w:pPr>
  </w:p>
  <w:p w14:paraId="3220F41E">
    <w:pPr>
      <w:spacing w:before="60" w:after="60"/>
      <w:ind w:left="523" w:firstLine="480"/>
    </w:pPr>
  </w:p>
  <w:p w14:paraId="56DE9B47">
    <w:pPr>
      <w:spacing w:before="60" w:after="60"/>
      <w:ind w:left="523" w:firstLine="480"/>
    </w:pPr>
  </w:p>
  <w:p w14:paraId="3902F83E">
    <w:pPr>
      <w:spacing w:before="60" w:after="60"/>
      <w:ind w:left="523" w:firstLine="480"/>
    </w:pPr>
  </w:p>
  <w:p w14:paraId="21071229">
    <w:pPr>
      <w:spacing w:before="60" w:after="60"/>
      <w:ind w:left="523"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49621">
    <w:pPr>
      <w:pStyle w:val="3"/>
      <w:spacing w:before="60"/>
      <w:ind w:left="392"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MzOWMyMjNhYTQ5MTNhY2UxODZlNTBhYWYyZjUwMDkifQ=="/>
  </w:docVars>
  <w:rsids>
    <w:rsidRoot w:val="00000000"/>
    <w:rsid w:val="03054AD2"/>
    <w:rsid w:val="03254302"/>
    <w:rsid w:val="06900DBB"/>
    <w:rsid w:val="078D5244"/>
    <w:rsid w:val="1198193E"/>
    <w:rsid w:val="119B0AE3"/>
    <w:rsid w:val="125C2F20"/>
    <w:rsid w:val="148D1503"/>
    <w:rsid w:val="17E87EBB"/>
    <w:rsid w:val="197205C3"/>
    <w:rsid w:val="1CFA464D"/>
    <w:rsid w:val="1D9772FC"/>
    <w:rsid w:val="21CC1227"/>
    <w:rsid w:val="29514FC6"/>
    <w:rsid w:val="2C6F21A3"/>
    <w:rsid w:val="2C946EC4"/>
    <w:rsid w:val="37C760E6"/>
    <w:rsid w:val="3B8D4FA2"/>
    <w:rsid w:val="3B9D76F2"/>
    <w:rsid w:val="49366D6C"/>
    <w:rsid w:val="4AD15D39"/>
    <w:rsid w:val="525E180D"/>
    <w:rsid w:val="58484802"/>
    <w:rsid w:val="5DB744F6"/>
    <w:rsid w:val="5E1B1736"/>
    <w:rsid w:val="5FCF64AB"/>
    <w:rsid w:val="679748F4"/>
    <w:rsid w:val="6B1C703D"/>
    <w:rsid w:val="6D062D75"/>
    <w:rsid w:val="6DD82BE3"/>
    <w:rsid w:val="6DFA6436"/>
    <w:rsid w:val="71D947DB"/>
    <w:rsid w:val="728E539F"/>
    <w:rsid w:val="762C6036"/>
    <w:rsid w:val="76AC0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25" w:beforeLines="25" w:after="25" w:afterLines="25" w:line="300" w:lineRule="auto"/>
      <w:ind w:firstLine="200" w:firstLineChars="200"/>
      <w:jc w:val="both"/>
    </w:pPr>
    <w:rPr>
      <w:rFonts w:ascii="Times New Roman" w:hAnsi="Times New Roman" w:eastAsia="宋体" w:cs="Times New Roman"/>
      <w:kern w:val="2"/>
      <w:sz w:val="24"/>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widowControl/>
      <w:tabs>
        <w:tab w:val="center" w:pos="4153"/>
        <w:tab w:val="right" w:pos="8306"/>
      </w:tabs>
      <w:snapToGrid w:val="0"/>
      <w:spacing w:after="0" w:afterLines="0"/>
      <w:jc w:val="center"/>
    </w:pPr>
    <w:rPr>
      <w:sz w:val="18"/>
      <w:szCs w:val="18"/>
    </w:rPr>
  </w:style>
  <w:style w:type="character" w:styleId="6">
    <w:name w:val="page number"/>
    <w:basedOn w:val="5"/>
    <w:qFormat/>
    <w:uiPriority w:val="0"/>
  </w:style>
  <w:style w:type="paragraph" w:customStyle="1" w:styleId="7">
    <w:name w:val="样式 (中文) 黑体 小二 居中"/>
    <w:basedOn w:val="1"/>
    <w:qFormat/>
    <w:uiPriority w:val="0"/>
    <w:pPr>
      <w:snapToGrid w:val="0"/>
      <w:spacing w:before="400" w:beforeLines="0" w:after="200" w:afterLines="0"/>
      <w:ind w:firstLine="0" w:firstLineChars="0"/>
      <w:jc w:val="center"/>
    </w:pPr>
    <w:rPr>
      <w:rFonts w:eastAsia="黑体" w:cs="宋体"/>
      <w:sz w:val="36"/>
      <w:szCs w:val="20"/>
    </w:rPr>
  </w:style>
  <w:style w:type="paragraph" w:customStyle="1" w:styleId="8">
    <w:name w:val="节"/>
    <w:basedOn w:val="1"/>
    <w:qFormat/>
    <w:uiPriority w:val="0"/>
    <w:pPr>
      <w:snapToGrid w:val="0"/>
      <w:spacing w:before="50" w:beforeLines="50" w:after="50" w:afterLines="50"/>
      <w:ind w:firstLine="0" w:firstLineChars="0"/>
    </w:pPr>
    <w:rPr>
      <w:rFonts w:eastAsia="黑体"/>
      <w:sz w:val="30"/>
    </w:rPr>
  </w:style>
  <w:style w:type="paragraph" w:customStyle="1" w:styleId="9">
    <w:name w:val="条"/>
    <w:basedOn w:val="1"/>
    <w:qFormat/>
    <w:uiPriority w:val="0"/>
    <w:pPr>
      <w:snapToGrid w:val="0"/>
      <w:spacing w:before="50" w:beforeLines="50" w:after="50" w:afterLines="50"/>
      <w:ind w:firstLine="0" w:firstLineChars="0"/>
    </w:pPr>
    <w:rPr>
      <w:rFonts w:eastAsia="黑体"/>
      <w:sz w:val="28"/>
    </w:rPr>
  </w:style>
  <w:style w:type="paragraph" w:customStyle="1" w:styleId="10">
    <w:name w:val="款"/>
    <w:basedOn w:val="1"/>
    <w:qFormat/>
    <w:uiPriority w:val="0"/>
    <w:pPr>
      <w:snapToGrid w:val="0"/>
      <w:spacing w:before="0" w:beforeLines="0" w:after="0" w:afterLines="0"/>
      <w:ind w:firstLine="0" w:firstLineChars="0"/>
    </w:pPr>
    <w:rPr>
      <w:rFonts w:eastAsia="黑体"/>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12205</Words>
  <Characters>14311</Characters>
  <Lines>0</Lines>
  <Paragraphs>0</Paragraphs>
  <TotalTime>20</TotalTime>
  <ScaleCrop>false</ScaleCrop>
  <LinksUpToDate>false</LinksUpToDate>
  <CharactersWithSpaces>14984</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2024-10-09T03:10:00Z</dcterms:created>
  <dc:creator>jzt</dc:creator>
  <cp:lastModifiedBy>andy</cp:lastModifiedBy>
  <dcterms:modified xsi:type="dcterms:W3CDTF">2026-10-04T05:29:46Z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059E60E601094A0884F9596E6FBF1BAB_12</vt:lpwstr>
  </property>
  <property fmtid="{D5CDD505-2E9C-101B-9397-08002B2CF9AE}" pid="4" name="KSOTemplateDocerSaveRecord">
    <vt:lpwstr>eyJoZGlkIjoiZTIzOTFjOTdlMDYxY2QxNTk1NGY0MTAyZjBlNTY1M2EiLCJ1c2VySWQiOiI0NTQ5NTI5NTMifQ==</vt:lpwstr>
  </property>
</Properties>
</file>