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drawing>
          <wp:inline distT="0" distB="0" distL="0" distR="0">
            <wp:extent cx="1809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700"/>
        <w:jc w:val="center"/>
      </w:pPr>
      <w:r>
        <w:rPr>
          <w:rFonts w:ascii="Calibri" w:cs="Calibri" w:eastAsia="Calibri" w:hAnsi="Calibri"/>
          <w:b/>
          <w:bCs/>
          <w:color w:val="6B7280"/>
          <w:sz w:val="26"/>
          <w:szCs w:val="26"/>
        </w:rPr>
        <w:t xml:space="preserve">Security Baseline Remediation Plan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3F6C2E"/>
          <w:sz w:val="44"/>
          <w:szCs w:val="44"/>
        </w:rPr>
        <w:t xml:space="preserve">Purchasing Management (InvestFlow)</w:t>
      </w:r>
    </w:p>
    <w:p>
      <w:pPr>
        <w:spacing w:after="700" w:before="1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End-to-end purchasing workflow application — quote to payment, role-based access, document versioning.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</w:rPr>
        <w:t xml:space="preserve">What is implemented today, exactly what is needed to reach full ("all green") compliance with the CHdN Management Application Baseline, and a ready-to-paste Replit prompt to implement it.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Repository: github.com/andyelsen85-bit/Purchasing-Management</w:t>
      </w:r>
    </w:p>
    <w:p>
      <w:r>
        <w:br w:type="page"/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1. How to Use This Document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is the project-specific companion to the portfolio-wide "AI-Assisted Application Development — Portfolio Review &amp; Security Analysis" and "Baseline Prompt for Future AI-Developed Projects" documents. It narrows the shared baseline down to exactly what Purchasing Management (InvestFlow) still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2 shows the current compliance status against every baseline control, colour-coded green (implemented) / amber (partial) / red (not implemented).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3 orders the remaining work by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4 is a single copy-ready prompt for Replit — paste it as-is to have the agent implement every remaining item against this specific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Section 5 is the compliance checklist to re-run this analysis against once the changes are applied.</w:t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2. Current Compliance Status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Status is drawn directly from the application's source code (not just its documentation) as reviewed in the portfolio analysis. "Green" means the control is implemented and verified in source; "Amber" means it exists but is incomplete or inconsistently applied; "Red" means it does not exist yet.</w:t>
      </w:r>
    </w:p>
    <w:tbl>
      <w:tblPr>
        <w:tblW w:type="dxa" w:w="91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1700"/>
        <w:gridCol w:w="4850"/>
      </w:tblGrid>
      <w:tr>
        <w:trPr>
          <w:tblHeader/>
        </w:trPr>
        <w:tc>
          <w:tcPr>
            <w:tcW w:type="dxa" w:w="26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control</w:t>
            </w:r>
          </w:p>
        </w:tc>
        <w:tc>
          <w:tcPr>
            <w:tcW w:type="dxa" w:w="17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5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needed to reach green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 images built by GitHub Actions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CI workflow exists — images are built only via docker compose up --build. Add a GitHub Actions workflow that builds and publishes the image directly on push to main and on version tags, modelled on NemesysV2's build-images.yml.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CSRF middleware exists anywhere in the reviewed API. Add a double-submit cookie/header scheme (cookie set on session creation, header required on every mutating request), modelled on Change-Manager's implementation.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 FS documentation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lib/adfs.ts, /api/auth/adfs/start and /callback, the settings UI, and the login-page button are all fully implemented and working — but entirely absent from the README's Authentication section. Document the feature and confirm its configuration is an intentional, reviewed choice for this deployment.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Kerberos SSO retirement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Kerberos/SPNEGO login did not work reliably in practice and is superseded by AD FS OIDC. Remove the Kerberos code path, the login-page fallback logic, and any related settings rather than leaving unreliable, confusing configuration surface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Secrets-at-rest encryption for SMTP/LDAP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Sensitive settings are described as encrypted but the algorithm/key-derivation is not confirmed as AES-256-GCM with an independent key the way Change-Manager's secret-crypto.ts is. Confirm or upgrade to that standard.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Seed admin ships as admin/admin, flagged in docs but not technically enforced. Add a mandatory password-change (or first-run setup wizard) that blocks further use of the account until the password is changed.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Rate limiting / brute-force protection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login throttling or account lockout exists. Add rate limiting and progressive lockout to the login and LDAP-test endpoints.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TLS-verification bypass in production</w:t>
            </w:r>
          </w:p>
        </w:tc>
        <w:tc>
          <w:tcPr>
            <w:tcW w:type="dxa" w:w="1900"/>
            <w:shd w:fill="FCF1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LDAPS "skip TLS verify" toggle is legitimate for legacy directories but must be blocked in production without a formally approved, time-boxed exception. Add that guard.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Automated tests / CI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repository-level automated test suite or CI workflow exists. Add a CI pipeline (typecheck, tests, build) alongside the image-build workflow above.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 threat model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threat_model.md exists. Add one modelled on Change-Manager's.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encryption at rest / in transit</w:t>
            </w:r>
          </w:p>
        </w:tc>
        <w:tc>
          <w:tcPr>
            <w:tcW w:type="dxa" w:w="1900"/>
            <w:shd w:fill="FBE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3231C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JSON export (base64 documents included) is not encrypted once it leaves the application. Encrypt exported backups and document a retention policy.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password hashing (scrypt)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 (Note: this is scrypt, not bcrypt as the README summary implies — correct the documentation.)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LDAPS / Active Directory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Same-origin CORS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backup &amp; restore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 This is the reference implementation the other two projects should copy.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HTTPS/PKI management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correct — no action needed.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connected to an externally managed PostgreSQL database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Already true in practice — document it explicitly in the README/deployment notes so it isn't left implicit.</w:t>
            </w:r>
          </w:p>
        </w:tc>
      </w:tr>
    </w:tbl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3. Priority Order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3.1 Critical — do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CSRF double-submit protection to every session-cookie-authenticated mutating route. This is the single biggest gap: there is currently no cross-site request forgery protection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a GitHub Actions workflow that builds and publishes the container image directly, closing the gap with NemesysV2.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3.2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 the existing AD FS OIDC integration (it already works) and confirm its production configuration is intentional.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Retire the unreliable Kerberos/SPNEGO code path entirely rather than leaving it as dead, confusing configuration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Force a password change on first login instead of relying on documentation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rate limiting and progressive lockout to login and LDAP-test endpoints.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3.3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or upgrade SMTP/LDAP secret encryption to AES-256-GCM with an independent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Block the LDAPS "skip TLS verify" toggle in production without a formal, time-boxed exception.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a CI pipeline (typecheck, tests, build) and a written threat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Encrypt exported backups and document their retention policy.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color w:val="1F2937"/>
        </w:rPr>
        <w:t xml:space="preserve">3.4 Documentation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Correct the README to state that local passwords are hashed with scrypt, not bcrypt.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Explicitly document that production already connects to CHdN's externally managed PostgreSQL database.</w:t>
      </w:r>
    </w:p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4. Copy-Ready Replit Prompt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Paste this directly into a Replit Agent session against the Purchasing Management (InvestFlow) repository. It is scoped to exactly the gaps found in Section 2 — it will not ask the agent to re-implement controls that already 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You are working on an existing internal management application: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Application: Purchasing Management (branded "InvestFlow" for CHdN)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Business purpose: End-to-end purchasing workflow — from first quote request to final payment — with role-based access, document versioning, and audit logging. UI is in French.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Repository: github.com/andyelsen85-bit/Purchasing-Management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Your objective is to bring this application into full ("all green") compliance with our Management Application Baseline without unnecessarily rewriting working business functionality. Multi-factor authentication is explicitly OUT OF SCOPE — do not add it. This is an internal-only application. Kerberos SSO must be REMOVED, not extended — it proved unreliable in this exact application and AD FS OIDC replaces it.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OPERATING PRINCIPLES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Inspect the complete repository before changing architecture or dependencies.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Preserve every working feature, API contract, URL, and workflow (the 9-step Commande lifecycle, GT Invest flow, document versioning, the Windows signing agent) exactly as-is.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3. Do not weaken or modify the existing LDAPS, local (scrypt), or AD FS OIDC login flows — only add CSRF protection around them and retire Kerberos.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4. Prefer incremental, reviewable changes over a full rewrite.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5. Keep the application runnable after each implementation phase.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6. Do NOT add Kubernetes manifests, Helm charts, or ArgoCD configuration — deployment stays Docker-based, with the container image built directly by GitHub Actions (see FIX 2).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7. Do NOT add multi-factor authentication.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1 — CSRF protection (Critical)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 CSRF middleware exists anywhere in the API. Add a double-submit cookie/header scheme: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On session creation (login success), set a non-HttpOnly CSRF cookie alongside the existing session cookie.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Require the client to echo it as an X-CSRF-Token header on every POST, PUT, PATCH, and DELETE request under /api (except the login route itself).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Reject with 403 if the header is missing or does not match the cookie (constant-time comparison).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Update the SPA's API client (wherever it centrally issues fetch/axios calls) to read the cookie and attach the header automatically, so individual call sites don't need to change.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Add a route/middleware test confirming a mutating request without the header is rejected and one with a matching header succeeds.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2 — Container images built by GitHub Actions (Critical)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 .github/workflows/build-images.yml that builds and publishes the application's container image on push to main and on version tags, tagged with branch, version, and immutable commit SHA — directly modelled on NemesysV2-Update-Management's build-images.yml in the sibling repository. Publish to the same registry destination used by that project and document the equivalent Nexus mirror step if applicable.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3 — Document the existing AD FS integration (High)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 FS OpenID Connect is already fully implemented (lib/adfs.ts, /api/auth/adfs/start and /callback, the Settings UI, and the login-page button) but is missing from the README's Authentication section. Add it to the documentation, and add a short admin-facing note in the Settings → LDAP/Kerberos page confirming whether AD FS is the intended primary SSO method for this deployment.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4 — Retire Kerberos SSO (High)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Locate the Kerberos/SPNEGO login code path (referenced in lib/settings.ts, lib/ldap.ts, routes/settings.ts, and routes/auth.ts) and remove it: the backend negotiate endpoint, the login-page fallback logic, and any related Settings UI toggle. Keep local and LDAPS/AD FS login untouched. Add a short note in the changelog/README explaining Kerberos was removed because it did not work reliably in this deployment and AD FS OIDC is the supported SSO path.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5 — Force password change on first login (High)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 seeded admin/admin account should not be usable beyond first login. Add a forced-password-change flow: on first successful login with the seed credentials (or any account flagged "must change password"), redirect to a mandatory change-password screen before any other route is reachable.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6 — Rate limiting (High)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 rate limiting and progressive lockout to POST /api/auth/login and POST /api/auth/ldap/test.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7 — Secrets encryption confirmation (Medium)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Confirm the exact algorithm used to encrypt SMTP and LDAP bind passwords at rest. If it is not AES-256-GCM with a key independent from SESSION_SECRET, upgrade it to that standard (mirroring Change-Manager's lib/secret-crypto.ts pattern) and add a migration for any already-stored secrets.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8 — Block TLS-verification bypass in production (Medium)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 LDAPS "skip TLS verify" toggle must be rejected (or require a formally logged, time-boxed exception flag) when NODE_ENV=production.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9 — CI pipeline and threat model (Medium)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 .github/workflows/ci.yml running typecheck, tests, and build on every pull request. Add threat_model.md (or docs/threat_model.md) modelled on Change-Manager's, covering the purchasing workflow's assets (quotes, purchase orders, invoices, the investment questionnaire), trust boundaries, and any accepted risks.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FIX 10 — Backup encryption (Medium)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Encrypt the JSON export produced by GET /api/admin/backup before it is offered for download (or document a mandatory external encryption step), and add a short retention-policy note to the backup/restore documentation.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DOCUMENTATION ONLY — no code change required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Correct the README: local password hashing is scrypt (lib/auth.ts), not bcrypt as currently implied.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State explicitly that production already connects to CHdN's externally managed, centrally backed-up and monitored PostgreSQL database, and that only test/local development runs its own local PostgreSQL container.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DELIVERY ORDER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1. Assessment confirming the above findings still hold against the current code.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2. FIX 1 and FIX 2 (Critical) together.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3. FIX 3, FIX 4, FIX 5, FIX 6 (High).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4. FIX 7, FIX 8, FIX 9, FIX 10 (Medium).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5. Documentation corrections.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6. A final compliance matrix showing Passed / Partially Passed / Not Applicable for every item in this brief.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 not mark this remediation complete while any mutating route lacks CSRF protection, while the Kerberos code path still exists, or while the seed admin account remains usable without a forced password change.</w:t>
            </w:r>
          </w:p>
        </w:tc>
      </w:tr>
    </w:tbl>
    <w:p>
      <w:pPr>
        <w:pStyle w:val="Heading1"/>
        <w:pBdr>
          <w:bottom w:val="single" w:color="3F6C2E" w:sz="8" w:space="4"/>
        </w:pBdr>
        <w:spacing w:after="180" w:before="360"/>
      </w:pPr>
      <w:r>
        <w:rPr>
          <w:rFonts w:ascii="Calibri" w:cs="Calibri" w:eastAsia="Calibri" w:hAnsi="Calibri"/>
          <w:color w:val="3F6C2E"/>
        </w:rPr>
        <w:t xml:space="preserve">5. Definition of Done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Purchasing Management (InvestFlow) is compliant with the CHdN Management Application Baseline only when every row in the table below is green. Once the changes in Section 4 are applied, re-run the portfolio-wide security analysis to confirm.</w:t>
      </w:r>
    </w:p>
    <w:tbl>
      <w:tblPr>
        <w:tblW w:type="dxa" w:w="91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1700"/>
        <w:gridCol w:w="4850"/>
      </w:tblGrid>
      <w:tr>
        <w:trPr>
          <w:tblHeader/>
        </w:trPr>
        <w:tc>
          <w:tcPr>
            <w:tcW w:type="dxa" w:w="26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control</w:t>
            </w:r>
          </w:p>
        </w:tc>
        <w:tc>
          <w:tcPr>
            <w:tcW w:type="dxa" w:w="170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50"/>
            <w:shd w:fill="3F6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needed to reach green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 images built by GitHub Actions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 FS documentation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Kerberos SSO retirement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Secrets-at-rest encryption for SMTP/LDAP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Rate limiting / brute-force protection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TLS-verification bypass in production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Automated tests / CI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 threat model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encryption at rest / in transit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Local password hashing (scrypt)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LDAPS / Active Directory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Same-origin CORS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backup &amp; restore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In-app HTTPS/PKI management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connected to an externally managed PostgreSQL database</w:t>
            </w:r>
          </w:p>
        </w:tc>
        <w:tc>
          <w:tcPr>
            <w:tcW w:type="dxa" w:w="1900"/>
            <w:shd w:fill="E3F3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state — verify after remediation.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3F6C2E" w:sz="12"/>
              <w:left w:val="single" w:color="3F6C2E" w:sz="24"/>
              <w:bottom w:val="single" w:color="EEF3E6" w:sz="4"/>
              <w:right w:val="single" w:color="EEF3E6" w:sz="4"/>
            </w:tcBorders>
            <w:shd w:fill="EEF3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3F6C2E"/>
                <w:sz w:val="22"/>
                <w:szCs w:val="22"/>
              </w:rPr>
              <w:t xml:space="preserve">Next step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Once this checklist is fully green, ask for a re-analysis of all three applications against the shared baseline to confirm portfolio-wide compliance.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CHdN — Purchasing Management (InvestFlow) Security Baseline Remediation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a4ebae458d21d3ee08b54874ea954ff75b6c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2026-09-15T06:23:18.552Z</dcterms:created>
  <dcterms:modified xsi:type="dcterms:W3CDTF">2026-09-15T06:23:18.552Z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