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drawing>
          <wp:inline distT="0" distB="0" distL="0" distR="0">
            <wp:extent cx="1809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700"/>
        <w:jc w:val="center"/>
      </w:pPr>
      <w:r>
        <w:rPr>
          <w:rFonts w:ascii="Calibri" w:cs="Calibri" w:eastAsia="Calibri" w:hAnsi="Calibri"/>
          <w:b/>
          <w:bCs/>
          <w:color w:val="6B7280"/>
          <w:sz w:val="26"/>
          <w:szCs w:val="26"/>
        </w:rPr>
        <w:t xml:space="preserve">Security Baseline Remediation Plan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color w:val="3F6C2E"/>
          <w:sz w:val="44"/>
          <w:szCs w:val="44"/>
        </w:rPr>
        <w:t xml:space="preserve">Purchasing Management (InvestFlow)</w:t>
      </w:r>
    </w:p>
    <w:p>
      <w:pPr>
        <w:spacing w:after="700" w:before="10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End-to-end purchasing workflow application — quote to payment, role-based access, document versioning.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</w:rPr>
        <w:t xml:space="preserve">What is implemented today, exactly what is needed to reach full ("all green") compliance with the CHdN Management Application Baseline, and a ready-to-paste Replit prompt to implement it.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Repository: github.com/andyelsen85-bit/Purchasing-Management</w:t>
      </w:r>
    </w:p>
    <w:p>
      <w:r>
        <w:br w:type="page"/>
      </w:r>
    </w:p>
    <w:p>
      <w:pPr>
        <w:pStyle w:val="Heading1"/>
        <w:pBdr>
          <w:bottom w:val="single" w:color="3F6C2E" w:sz="8" w:space="4"/>
        </w:pBdr>
        <w:spacing w:after="180" w:before="360"/>
      </w:pPr>
      <w:r>
        <w:rPr>
          <w:rFonts w:ascii="Calibri" w:cs="Calibri" w:eastAsia="Calibri" w:hAnsi="Calibri"/>
          <w:color w:val="3F6C2E"/>
        </w:rPr>
        <w:t xml:space="preserve">1. How to Use This Document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is the project-specific companion to the portfolio-wide "AI-Assisted Application Development — Portfolio Review &amp; Security Analysis" and "Baseline Prompt for Future AI-Developed Projects" documents. It narrows the shared baseline down to exactly what Purchasing Management (InvestFlow) still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Section 2 shows the current compliance status against every baseline control, colour-coded green (implemented) / amber (partial) / red (not implemented).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Section 3 orders the remaining work by priority.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Section 4 is a single copy-ready prompt for Replit — paste it as-is to have the agent implement every remaining item against this specific codebase.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Section 5 is the compliance checklist to re-run this analysis against once the changes are applied.</w:t>
      </w:r>
    </w:p>
    <w:p>
      <w:pPr>
        <w:pStyle w:val="Heading1"/>
        <w:pBdr>
          <w:bottom w:val="single" w:color="3F6C2E" w:sz="8" w:space="4"/>
        </w:pBdr>
        <w:spacing w:after="180" w:before="360"/>
      </w:pPr>
      <w:r>
        <w:rPr>
          <w:rFonts w:ascii="Calibri" w:cs="Calibri" w:eastAsia="Calibri" w:hAnsi="Calibri"/>
          <w:color w:val="3F6C2E"/>
        </w:rPr>
        <w:t xml:space="preserve">2. Current Compliance Status</w:t>
      </w:r>
    </w:p>
    <w:p>
      <w:pPr>
        <w:spacing w:after="120"/>
      </w:pPr>
      <w:r>
        <w:rPr>
          <w:rFonts w:ascii="Calibri" w:cs="Calibri" w:eastAsia="Calibri" w:hAnsi="Calibri"/>
        </w:rPr>
        <w:t xml:space="preserve">Status is drawn directly from the application's source code (not just its documentation) as reviewed in the portfolio analysis. "Green" means the control is implemented and verified in source; "Amber" means it exists but is incomplete or inconsistently applied; "Red" means it does not exist yet.</w:t>
      </w:r>
    </w:p>
    <w:tbl>
      <w:tblPr>
        <w:tblW w:type="dxa" w:w="91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600"/>
        <w:gridCol w:w="1700"/>
        <w:gridCol w:w="4850"/>
      </w:tblGrid>
      <w:tr>
        <w:trPr>
          <w:tblHeader/>
        </w:trPr>
        <w:tc>
          <w:tcPr>
            <w:tcW w:type="dxa" w:w="2600"/>
            <w:shd w:fill="3F6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 control</w:t>
            </w:r>
          </w:p>
        </w:tc>
        <w:tc>
          <w:tcPr>
            <w:tcW w:type="dxa" w:w="1700"/>
            <w:shd w:fill="3F6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50"/>
            <w:shd w:fill="3F6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What's needed to reach green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Resolved in Round 1 — session-bound token, cookie+header checked.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Container images built by GitHub Actions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Resolved in Round 1.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 FS documentation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Resolved in Round 1.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Kerberos SSO retirement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Resolved in Round 1 — fully removed.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Default credentials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Resolved in Round 1 — must_change_password + PasswordChangePage.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Rate limiting / brute-force protection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Resolved in Round 1.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Secrets-at-rest encryption for SMTP/LDAP/AD FS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Resolved — independent, operator-supplied SETTINGS_ENCRYPTION_KEY, verified to reject reuse of SESSION_SECRET.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TLS-verification bypass in production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Resolved in Round 1 — time-boxed, environment-gated exception.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Automated tests / CI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Resolved in Round 1.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Formal threat model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Resolved in Round 1.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Backup encryption at rest / in transit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Resolved in Round 1 — passphrase-protected AES-256-GCM archive.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Backup/restore table completeness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Verified in this re-analysis: the schema has 22 tables; the backup's TABLES list covers 20 of them, correctly excluding only the two session-store tables (session, sessions) — exactly the same principle NemesysV2's backup.ts documents for its own session table. No missing business tables. Recommended anyway: add the same automated schema-vs-backup drift test being added to the other two projects, purely as a safety net for future tables — not because anything is wrong today.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Immutable / tamper-evident audit log</w:t>
            </w:r>
          </w:p>
        </w:tc>
        <w:tc>
          <w:tcPr>
            <w:tcW w:type="dxa" w:w="1900"/>
            <w:shd w:fill="FBE3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3231C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NEW FINDING (Round 2). audit_log is written to by application code (lib/audit.ts) with no database-level protection against UPDATE/DELETE/TRUNCATE — the same gap already identified and now being fixed in NemesysV2. Change-Manager's trigger-based approach is the reference implementation to copy.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README documentation completeness</w:t>
            </w:r>
          </w:p>
        </w:tc>
        <w:tc>
          <w:tcPr>
            <w:tcW w:type="dxa" w:w="1900"/>
            <w:shd w:fill="FCF1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63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NEW FINDING (Round 2). The Authentication section is thorough (AD FS, LDAPS, scrypt, forced password change, Kerberos retirement) but neither CSRF protection nor the rate-limiting/lockout mechanism is mentioned anywhere in the README, despite both being fully implemented. Minor cosmetic nit: the Backups section says "20 of 21" tables when the schema actually has 22 (two session tables, both correctly excluded) — reword to avoid a number that can drift out of sync with the schema.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Local password hashing (scrypt)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Already correct —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LDAPS / Active Directory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Already correct —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Same-origin CORS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Already correct —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In-app HTTPS/PKI management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Already correct —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Production connected to an externally managed PostgreSQL database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Confirmed in the application's own README. No action needed.</w:t>
            </w:r>
          </w:p>
        </w:tc>
      </w:tr>
    </w:tbl>
    <w:p>
      <w:pPr>
        <w:pStyle w:val="Heading1"/>
        <w:pBdr>
          <w:bottom w:val="single" w:color="3F6C2E" w:sz="8" w:space="4"/>
        </w:pBdr>
        <w:spacing w:after="180" w:before="360"/>
      </w:pPr>
      <w:r>
        <w:rPr>
          <w:rFonts w:ascii="Calibri" w:cs="Calibri" w:eastAsia="Calibri" w:hAnsi="Calibri"/>
          <w:color w:val="3F6C2E"/>
        </w:rPr>
        <w:t xml:space="preserve">3. Priority Order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color w:val="1F2937"/>
        </w:rPr>
        <w:t xml:space="preserve">3.1 Status: Round 1 complete, one new finding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ten Round 1 items remain correctly implemented and verified. This deeper re-analysis, prompted by a portfolio-wide review of backup completeness and documentation accuracy, found one genuine gap (audit log immutability) and one documentation gap (CSRF/rate-limiting undocumented). Backup/restore table completeness was specifically checked and is confirmed correct — no fix needed there, only the recommended systemic safety net.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color w:val="1F2937"/>
        </w:rPr>
        <w:t xml:space="preserve">3.2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database-trigger enforcement to audit_log, copying Change-Manager's pattern — this is the last real security gap in this application.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color w:val="1F2937"/>
        </w:rPr>
        <w:t xml:space="preserve">3.3 Medium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the same automated schema-vs-backup drift test being added to NemesysV2 and Change-Manager, as a safety net for future tables (not because today's list is wrong).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color w:val="1F2937"/>
        </w:rPr>
        <w:t xml:space="preserve">3.4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Document CSRF protection and rate limiting in the README's security narrative.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Reword the Backups section's table count so it does not need manual updating every time a table is added.</w:t>
      </w:r>
    </w:p>
    <w:p>
      <w:pPr>
        <w:pStyle w:val="Heading1"/>
        <w:pBdr>
          <w:bottom w:val="single" w:color="3F6C2E" w:sz="8" w:space="4"/>
        </w:pBdr>
        <w:spacing w:after="180" w:before="360"/>
      </w:pPr>
      <w:r>
        <w:rPr>
          <w:rFonts w:ascii="Calibri" w:cs="Calibri" w:eastAsia="Calibri" w:hAnsi="Calibri"/>
          <w:color w:val="3F6C2E"/>
        </w:rPr>
        <w:t xml:space="preserve">4. Copy-Ready Replit Prompt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Paste this directly into a Replit Agent session against the Purchasing Management (InvestFlow) repository. It is scoped to exactly the gaps found in Section 2 — it will not ask the agent to re-implement controls that already work.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5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You are working on Purchasing Management (InvestFlow), which has already completed Round 1 of its security baseline remediation (CSRF, CI image builds, AD FS documentation, Kerberos removal, forced password change, rate limiting, independent settings-encryption key, LDAP TLS exception handling, backup encryption, threat model, tests — all implemented and correct, do not touch them). This is Round 2, prompted by a portfolio-wide check of backup completeness and documentation accuracy.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OPERATING PRINCIPLES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1. Inspect the complete repository before changing anything — confirm each finding below still holds.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2. Preserve every Round 1 control exactly as it is.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3. Do NOT add Kubernetes manifests, Helm charts, or ArgoCD configuration.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4. Do NOT add multi-factor authentication or Kerberos/SPNEGO — Kerberos must remain fully removed.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5. Keep the application runnable after each phase.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CONTEXT — backup/restore was specifically re-checked and is correct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The schema currently has 22 tables. lib/db/src/schema/index.ts defines: users, external_identity_mappings, notification_rules, departments, user_departments, companies, contacts, workflows, service_signatures, documents, document_versions, workflow_steps, notes, history, audit_log, settings, gt_invest_dates, gt_invest_results, notifications, tls_state, session, sessions. The backup route's TABLES array (routes/backup.ts) correctly covers all 20 non-session tables. No table is missing. Do not treat this as a finding requiring a fix to the table list itself — the only action here is FIX 2 below (an automated safety net, not a correction).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1 — Database-level audit log immutability (High)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File: a new Drizzle migration and lib/db/src/schema/index.ts for audit_log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Today audit_log is written to by application code (lib/audit.ts) with no database-level protection. Copy Change-Manager's pattern directly (see that repository's migration adding triggers to its own audit_log table):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1. Add a PostgreSQL trigger on audit_log that RAISEs an EXCEPTION on UPDATE, DELETE, and TRUNCATE.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2. Make the API refuse to start if the trigger cannot be confirmed installed, matching Change-Manager's startup check.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3. Add a test that attempts an UPDATE/DELETE/TRUNCATE against audit_log directly and confirms it is rejected.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4. Confirm the existing restore flow still works: restore already needs to bypass this protection to re-import audit_log rows, so mirror however Change-Manager's restore temporarily disables the trigger for the duration of its own transaction (e.g. ALTER TABLE audit_log DISABLE TRIGGER USER, re-enabled before commit).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2 — Automated backup/restore completeness test (Medium, safety net)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File: a new test alongside backup-invariants.test.ts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Add a test that introspects the live schema (e.g. by importing every exported *Table object from lib/db/src/schema/index.ts) and FAILS if any table exists in the schema but is not present in routes/backup.ts's TABLES array, unless it is in a small, explicit, commented allowlist of intentionally-excluded operational tables (today: session and sessions). This does not change today's behaviour — it exists purely so the next table anyone adds cannot be silently forgotten, the same test being added to NemesysV2 and Change-Manager in their own Round 2 work.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3 — Documentation (Medium)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File: README.md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1. Add CSRF protection and the rate-limiting/lockout mechanism to the README's security narrative (the Authentication section or a nearby security summary) — both are fully implemented (middlewares/csrf.ts, lib/rate-limit.ts) but currently unmentioned.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2. In the "Backups, history &amp; audit" section, reword "Tables included (20 of 21 — the canonical session table is excluded)" so the count is not a number that silently goes stale — e.g. state the two excluded session-store table names explicitly instead of a fraction, or generate the list/count from TABLES at doc-build time if this repository has a mechanism for that.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DELIVERY ORDER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1. Assessment confirming these findings still hold against the current code.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2. FIX 1 (High).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3. FIX 2 (Medium, safety net).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4. FIX 3 (Documentation).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5. A final compliance matrix showing Passed / Partially Passed / Not Applicable for every item in this brief.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 not mark this remediation complete while audit_log can still be modified or deleted by anything other than the restore path's temporary, re-enabled-before-commit trigger suspension.</w:t>
            </w:r>
          </w:p>
        </w:tc>
      </w:tr>
    </w:tbl>
    <w:p>
      <w:pPr>
        <w:pStyle w:val="Heading1"/>
        <w:pBdr>
          <w:bottom w:val="single" w:color="3F6C2E" w:sz="8" w:space="4"/>
        </w:pBdr>
        <w:spacing w:after="180" w:before="360"/>
      </w:pPr>
      <w:r>
        <w:rPr>
          <w:rFonts w:ascii="Calibri" w:cs="Calibri" w:eastAsia="Calibri" w:hAnsi="Calibri"/>
          <w:color w:val="3F6C2E"/>
        </w:rPr>
        <w:t xml:space="preserve">5. Definition of Done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Purchasing Management (InvestFlow) is compliant with the CHdN Management Application Baseline only when every row in the table below is green. Once the changes in Section 4 are applied, re-run the portfolio-wide security analysis to confirm.</w:t>
      </w:r>
    </w:p>
    <w:tbl>
      <w:tblPr>
        <w:tblW w:type="dxa" w:w="91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600"/>
        <w:gridCol w:w="1700"/>
        <w:gridCol w:w="4850"/>
      </w:tblGrid>
      <w:tr>
        <w:trPr>
          <w:tblHeader/>
        </w:trPr>
        <w:tc>
          <w:tcPr>
            <w:tcW w:type="dxa" w:w="2600"/>
            <w:shd w:fill="3F6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 control</w:t>
            </w:r>
          </w:p>
        </w:tc>
        <w:tc>
          <w:tcPr>
            <w:tcW w:type="dxa" w:w="1700"/>
            <w:shd w:fill="3F6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50"/>
            <w:shd w:fill="3F6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What's needed to reach green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Container images built by GitHub Actions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 FS documentation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Kerberos SSO retirement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Default credentials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Rate limiting / brute-force protection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Secrets-at-rest encryption for SMTP/LDAP/AD FS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TLS-verification bypass in production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Automated tests / CI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Formal threat model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Backup encryption at rest / in transit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Backup/restore table completeness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Immutable / tamper-evident audit log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README documentation completeness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Local password hashing (scrypt)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LDAPS / Active Directory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Same-origin CORS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In-app HTTPS/PKI management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Production connected to an externally managed PostgreSQL database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3F6C2E" w:sz="12"/>
              <w:left w:val="single" w:color="3F6C2E" w:sz="24"/>
              <w:bottom w:val="single" w:color="EEF3E6" w:sz="4"/>
              <w:right w:val="single" w:color="EEF3E6" w:sz="4"/>
            </w:tcBorders>
            <w:shd w:fill="EEF3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3F6C2E"/>
                <w:sz w:val="22"/>
                <w:szCs w:val="22"/>
              </w:rPr>
              <w:t xml:space="preserve">Next step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• Once this checklist is fully green, ask for a re-analysis of all three applications against the shared baseline to confirm portfolio-wide compliance.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CHdN — Purchasing Management (InvestFlow) Security Baseline Remediation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a4ebae458d21d3ee08b54874ea954ff75b6c1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2026-09-16T08:24:58.878Z</dcterms:created>
  <dcterms:modified xsi:type="dcterms:W3CDTF">2026-09-16T08:24:58.878Z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