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drawing>
          <wp:inline distT="0" distB="0" distL="0" distR="0">
            <wp:extent cx="180975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1057275"/>
                    </a:xfrm>
                    <a:prstGeom prst="rect">
                      <a:avLst/>
                    </a:prstGeom>
                  </pic:spPr>
                </pic:pic>
              </a:graphicData>
            </a:graphic>
          </wp:inline>
        </w:drawing>
      </w:r>
    </w:p>
    <w:p>
      <w:pPr>
        <w:spacing w:after="100" w:before="700"/>
        <w:jc w:val="center"/>
      </w:pPr>
      <w:r>
        <w:rPr>
          <w:rFonts w:ascii="Calibri" w:cs="Calibri" w:eastAsia="Calibri" w:hAnsi="Calibri"/>
          <w:b/>
          <w:bCs/>
          <w:color w:val="6B7280"/>
          <w:sz w:val="26"/>
          <w:szCs w:val="26"/>
        </w:rPr>
        <w:t xml:space="preserve">Security Baseline Remediation Plan</w:t>
      </w:r>
    </w:p>
    <w:p>
      <w:pPr>
        <w:spacing w:after="300" w:before="0"/>
        <w:jc w:val="center"/>
      </w:pPr>
      <w:r>
        <w:rPr>
          <w:rFonts w:ascii="Calibri" w:cs="Calibri" w:eastAsia="Calibri" w:hAnsi="Calibri"/>
          <w:b/>
          <w:bCs/>
          <w:color w:val="3F6C2E"/>
          <w:sz w:val="44"/>
          <w:szCs w:val="44"/>
        </w:rPr>
        <w:t xml:space="preserve">QueueCraft</w:t>
      </w:r>
    </w:p>
    <w:p>
      <w:pPr>
        <w:spacing w:after="700" w:before="100"/>
        <w:jc w:val="center"/>
      </w:pPr>
      <w:r>
        <w:rPr>
          <w:rFonts w:ascii="Calibri" w:cs="Calibri" w:eastAsia="Calibri" w:hAnsi="Calibri"/>
          <w:color w:val="1F2937"/>
          <w:sz w:val="22"/>
          <w:szCs w:val="22"/>
        </w:rPr>
        <w:t xml:space="preserve">Internal IT topic-routing application — Service Head validation, topic-scoped collaborators, milestone tracking.</w:t>
      </w:r>
    </w:p>
    <w:p>
      <w:pPr>
        <w:spacing w:after="120"/>
        <w:jc w:val="center"/>
      </w:pPr>
      <w:r>
        <w:rPr>
          <w:rFonts w:ascii="Calibri" w:cs="Calibri" w:eastAsia="Calibri" w:hAnsi="Calibri"/>
          <w:i/>
          <w:iCs/>
          <w:color w:val="6B7280"/>
        </w:rPr>
        <w:t xml:space="preserve">What is implemented in the source code as published on GitHub, checked directly against the CHdN Management Application Baseline, and a ready-to-paste Replit prompt for anything not yet implemented.</w:t>
      </w:r>
    </w:p>
    <w:p>
      <w:pPr>
        <w:spacing w:after="120"/>
        <w:jc w:val="center"/>
      </w:pPr>
      <w:r>
        <w:rPr>
          <w:rFonts w:ascii="Calibri" w:cs="Calibri" w:eastAsia="Calibri" w:hAnsi="Calibri"/>
          <w:color w:val="6B7280"/>
          <w:sz w:val="18"/>
          <w:szCs w:val="18"/>
        </w:rPr>
        <w:t xml:space="preserve">Repository: github.com/andyelsen85-bit/QueueCraft</w:t>
      </w:r>
    </w:p>
    <w:p>
      <w:r>
        <w:br w:type="page"/>
      </w:r>
    </w:p>
    <w:p>
      <w:pPr>
        <w:pStyle w:val="Heading1"/>
        <w:pBdr>
          <w:bottom w:val="single" w:color="3F6C2E" w:sz="8" w:space="4"/>
        </w:pBdr>
        <w:spacing w:after="180" w:before="360"/>
      </w:pPr>
      <w:r>
        <w:rPr>
          <w:rFonts w:ascii="Calibri" w:cs="Calibri" w:eastAsia="Calibri" w:hAnsi="Calibri"/>
          <w:color w:val="3F6C2E"/>
        </w:rPr>
        <w:t xml:space="preserve">1. How to Use This Document</w:t>
      </w:r>
    </w:p>
    <w:p>
      <w:pPr>
        <w:spacing w:after="120"/>
      </w:pPr>
      <w:r>
        <w:rPr>
          <w:rFonts w:ascii="Calibri" w:cs="Calibri" w:eastAsia="Calibri" w:hAnsi="Calibri"/>
        </w:rPr>
        <w:t xml:space="preserve">This document reviews QueueCraft against the CHdN Management Application Baseline, based on a direct read of its source code on GitHub.</w:t>
      </w:r>
    </w:p>
    <w:p>
      <w:pPr>
        <w:pStyle w:val="ListParagraph"/>
        <w:numPr>
          <w:ilvl w:val="0"/>
          <w:numId w:val="2"/>
        </w:numPr>
        <w:spacing w:after="80"/>
      </w:pPr>
      <w:r>
        <w:rPr>
          <w:rFonts w:ascii="Calibri" w:cs="Calibri" w:eastAsia="Calibri" w:hAnsi="Calibri"/>
          <w:sz w:val="21"/>
          <w:szCs w:val="21"/>
        </w:rPr>
        <w:t xml:space="preserve">Section 2 shows the current compliance status against every baseline control, colour-coded green (implemented) / amber (partial) / red (not implemented).</w:t>
      </w:r>
    </w:p>
    <w:p>
      <w:pPr>
        <w:pStyle w:val="ListParagraph"/>
        <w:numPr>
          <w:ilvl w:val="0"/>
          <w:numId w:val="2"/>
        </w:numPr>
        <w:spacing w:after="80"/>
      </w:pPr>
      <w:r>
        <w:rPr>
          <w:rFonts w:ascii="Calibri" w:cs="Calibri" w:eastAsia="Calibri" w:hAnsi="Calibri"/>
          <w:sz w:val="21"/>
          <w:szCs w:val="21"/>
        </w:rPr>
        <w:t xml:space="preserve">Section 3 orders any remaining work by priority.</w:t>
      </w:r>
    </w:p>
    <w:p>
      <w:pPr>
        <w:pStyle w:val="ListParagraph"/>
        <w:numPr>
          <w:ilvl w:val="0"/>
          <w:numId w:val="2"/>
        </w:numPr>
        <w:spacing w:after="80"/>
      </w:pPr>
      <w:r>
        <w:rPr>
          <w:rFonts w:ascii="Calibri" w:cs="Calibri" w:eastAsia="Calibri" w:hAnsi="Calibri"/>
          <w:sz w:val="21"/>
          <w:szCs w:val="21"/>
        </w:rPr>
        <w:t xml:space="preserve">Section 4 is a single copy-ready prompt for Replit — paste it as-is to have the agent implement any remaining item against this specific codebase.</w:t>
      </w:r>
    </w:p>
    <w:p>
      <w:pPr>
        <w:pStyle w:val="ListParagraph"/>
        <w:numPr>
          <w:ilvl w:val="0"/>
          <w:numId w:val="2"/>
        </w:numPr>
        <w:spacing w:after="80"/>
      </w:pPr>
      <w:r>
        <w:rPr>
          <w:rFonts w:ascii="Calibri" w:cs="Calibri" w:eastAsia="Calibri" w:hAnsi="Calibri"/>
          <w:sz w:val="21"/>
          <w:szCs w:val="21"/>
        </w:rPr>
        <w:t xml:space="preserve">Section 5 is the compliance checklist to re-run this analysis against once any changes are applied.</w:t>
      </w:r>
    </w:p>
    <w:p>
      <w:pPr>
        <w:pStyle w:val="Heading1"/>
        <w:pBdr>
          <w:bottom w:val="single" w:color="3F6C2E" w:sz="8" w:space="4"/>
        </w:pBdr>
        <w:spacing w:after="180" w:before="360"/>
      </w:pPr>
      <w:r>
        <w:rPr>
          <w:rFonts w:ascii="Calibri" w:cs="Calibri" w:eastAsia="Calibri" w:hAnsi="Calibri"/>
          <w:color w:val="3F6C2E"/>
        </w:rPr>
        <w:t xml:space="preserve">2. Current Compliance Status</w:t>
      </w:r>
    </w:p>
    <w:p>
      <w:pPr>
        <w:spacing w:after="120"/>
      </w:pPr>
      <w:r>
        <w:rPr>
          <w:rFonts w:ascii="Calibri" w:cs="Calibri" w:eastAsia="Calibri" w:hAnsi="Calibri"/>
        </w:rPr>
        <w:t xml:space="preserve">Status is drawn directly from the application's source code (not just its documentation) as reviewed in the portfolio analysis. "Green" means the control is implemented and verified in source; "Amber" means it exists but is incomplete or inconsistently applied; "Red" means it does not exist yet.</w:t>
      </w:r>
    </w:p>
    <w:tbl>
      <w:tblPr>
        <w:tblW w:type="dxa" w:w="9150"/>
        <w:tblBorders>
          <w:top w:val="single" w:color="D1D5DB" w:sz="4"/>
          <w:left w:val="single" w:color="D1D5DB" w:sz="4"/>
          <w:bottom w:val="single" w:color="D1D5DB" w:sz="4"/>
          <w:right w:val="single" w:color="D1D5DB" w:sz="4"/>
          <w:insideH w:val="single" w:color="D1D5DB" w:sz="4"/>
          <w:insideV w:val="single" w:color="D1D5DB" w:sz="4"/>
        </w:tblBorders>
      </w:tblPr>
      <w:tblGrid>
        <w:gridCol w:w="2600"/>
        <w:gridCol w:w="1700"/>
        <w:gridCol w:w="4850"/>
      </w:tblGrid>
      <w:tr>
        <w:trPr>
          <w:tblHeader/>
        </w:trPr>
        <w:tc>
          <w:tcPr>
            <w:tcW w:type="dxa" w:w="2600"/>
            <w:shd w:fill="3F6C2E"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Baseline control</w:t>
            </w:r>
          </w:p>
        </w:tc>
        <w:tc>
          <w:tcPr>
            <w:tcW w:type="dxa" w:w="1700"/>
            <w:shd w:fill="3F6C2E"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Status</w:t>
            </w:r>
          </w:p>
        </w:tc>
        <w:tc>
          <w:tcPr>
            <w:tcW w:type="dxa" w:w="4850"/>
            <w:shd w:fill="3F6C2E"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What's needed to reach green</w:t>
            </w:r>
          </w:p>
        </w:tc>
      </w:tr>
      <w:tr>
        <w:tc>
          <w:tcPr>
            <w:tcW w:type="dxa" w:w="26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Local password hashing (scrypt)</w:t>
            </w:r>
          </w:p>
        </w:tc>
        <w:tc>
          <w:tcPr>
            <w:tcW w:type="dxa" w:w="1900"/>
            <w:shd w:fill="E3F3E6" w:val="clear"/>
            <w:tcMar>
              <w:top w:type="dxa" w:w="60"/>
              <w:left w:type="dxa" w:w="100"/>
              <w:bottom w:type="dxa" w:w="60"/>
              <w:right w:type="dxa" w:w="100"/>
            </w:tcMar>
            <w:vAlign w:val="center"/>
          </w:tcPr>
          <w:p>
            <w:r>
              <w:rPr>
                <w:rFonts w:ascii="Calibri" w:cs="Calibri" w:eastAsia="Calibri" w:hAnsi="Calibri"/>
                <w:b/>
                <w:bCs/>
                <w:color w:val="1E7A34"/>
                <w:sz w:val="19"/>
                <w:szCs w:val="19"/>
              </w:rPr>
              <w:t xml:space="preserve">Implemented</w:t>
            </w:r>
          </w:p>
        </w:tc>
        <w:tc>
          <w:tcPr>
            <w:tcW w:type="dxa" w:w="4850"/>
            <w:tcMar>
              <w:top w:type="dxa" w:w="80"/>
              <w:left w:type="dxa" w:w="100"/>
              <w:bottom w:type="dxa" w:w="80"/>
              <w:right w:type="dxa" w:w="100"/>
            </w:tcMar>
            <w:vAlign w:val="center"/>
          </w:tcPr>
          <w:p>
            <w:pPr>
              <w:spacing w:after="0"/>
            </w:pPr>
            <w:r>
              <w:rPr>
                <w:rFonts w:ascii="Calibri" w:cs="Calibri" w:eastAsia="Calibri" w:hAnsi="Calibri"/>
                <w:color w:val="1F2937"/>
                <w:sz w:val="19"/>
                <w:szCs w:val="19"/>
              </w:rPr>
              <w:t xml:space="preserve">Bootstrap administrator account: scrypt, 16-byte salt, 64-byte derived key, ≥12-character minimum, timing-safe comparison (routes/auth.ts). Correct.</w:t>
            </w:r>
          </w:p>
        </w:tc>
      </w:tr>
      <w:tr>
        <w:tc>
          <w:tcPr>
            <w:tcW w:type="dxa" w:w="26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AD FS OpenID Connect SSO</w:t>
            </w:r>
          </w:p>
        </w:tc>
        <w:tc>
          <w:tcPr>
            <w:tcW w:type="dxa" w:w="1900"/>
            <w:shd w:fill="E3F3E6" w:val="clear"/>
            <w:tcMar>
              <w:top w:type="dxa" w:w="60"/>
              <w:left w:type="dxa" w:w="100"/>
              <w:bottom w:type="dxa" w:w="60"/>
              <w:right w:type="dxa" w:w="100"/>
            </w:tcMar>
            <w:vAlign w:val="center"/>
          </w:tcPr>
          <w:p>
            <w:r>
              <w:rPr>
                <w:rFonts w:ascii="Calibri" w:cs="Calibri" w:eastAsia="Calibri" w:hAnsi="Calibri"/>
                <w:b/>
                <w:bCs/>
                <w:color w:val="1E7A34"/>
                <w:sz w:val="19"/>
                <w:szCs w:val="19"/>
              </w:rPr>
              <w:t xml:space="preserve">Implemented</w:t>
            </w:r>
          </w:p>
        </w:tc>
        <w:tc>
          <w:tcPr>
            <w:tcW w:type="dxa" w:w="4850"/>
            <w:tcMar>
              <w:top w:type="dxa" w:w="80"/>
              <w:left w:type="dxa" w:w="100"/>
              <w:bottom w:type="dxa" w:w="80"/>
              <w:right w:type="dxa" w:w="100"/>
            </w:tcMar>
            <w:vAlign w:val="center"/>
          </w:tcPr>
          <w:p>
            <w:pPr>
              <w:spacing w:after="0"/>
            </w:pPr>
            <w:r>
              <w:rPr>
                <w:rFonts w:ascii="Calibri" w:cs="Calibri" w:eastAsia="Calibri" w:hAnsi="Calibri"/>
                <w:color w:val="1F2937"/>
                <w:sz w:val="19"/>
                <w:szCs w:val="19"/>
              </w:rPr>
              <w:t xml:space="preserve">Authorization Code Flow with PKCE, state, and nonce; session regenerated on successful callback (routes/auth.ts, services/oidc.ts). Correct.</w:t>
            </w:r>
          </w:p>
        </w:tc>
      </w:tr>
      <w:tr>
        <w:tc>
          <w:tcPr>
            <w:tcW w:type="dxa" w:w="26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LDAP / LDAPS auth</w:t>
            </w:r>
          </w:p>
        </w:tc>
        <w:tc>
          <w:tcPr>
            <w:tcW w:type="dxa" w:w="1900"/>
            <w:shd w:fill="FBE3E1" w:val="clear"/>
            <w:tcMar>
              <w:top w:type="dxa" w:w="60"/>
              <w:left w:type="dxa" w:w="100"/>
              <w:bottom w:type="dxa" w:w="60"/>
              <w:right w:type="dxa" w:w="100"/>
            </w:tcMar>
            <w:vAlign w:val="center"/>
          </w:tcPr>
          <w:p>
            <w:r>
              <w:rPr>
                <w:rFonts w:ascii="Calibri" w:cs="Calibri" w:eastAsia="Calibri" w:hAnsi="Calibri"/>
                <w:b/>
                <w:bCs/>
                <w:color w:val="A3231C"/>
                <w:sz w:val="19"/>
                <w:szCs w:val="19"/>
              </w:rPr>
              <w:t xml:space="preserve">Not implemented</w:t>
            </w:r>
          </w:p>
        </w:tc>
        <w:tc>
          <w:tcPr>
            <w:tcW w:type="dxa" w:w="4850"/>
            <w:tcMar>
              <w:top w:type="dxa" w:w="80"/>
              <w:left w:type="dxa" w:w="100"/>
              <w:bottom w:type="dxa" w:w="80"/>
              <w:right w:type="dxa" w:w="100"/>
            </w:tcMar>
            <w:vAlign w:val="center"/>
          </w:tcPr>
          <w:p>
            <w:pPr>
              <w:spacing w:after="0"/>
            </w:pPr>
            <w:r>
              <w:rPr>
                <w:rFonts w:ascii="Calibri" w:cs="Calibri" w:eastAsia="Calibri" w:hAnsi="Calibri"/>
                <w:color w:val="1F2937"/>
                <w:sz w:val="19"/>
                <w:szCs w:val="19"/>
              </w:rPr>
              <w:t xml:space="preserve">services/ldaps.ts implements a complete, correct LDAPS client (bind-then-search-then-bind-as-user, TLS with CA validation, disabled-account check via userAccountControl, proper unbind cleanup) — but authenticateWithLdaps() is never called from any route. There is no POST /auth/ldap route, even though middleware/security.ts's CSRF exemption list already reserves a path for one ("/auth/ldap"). LDAP directory search (searchLdapsUsers, used for member import) works correctly and proves the underlying client is sound — only the login route itself was never wired up. docs/security.md documents LDAPS as an approved fallback; today it is not usable.</w:t>
            </w:r>
          </w:p>
        </w:tc>
      </w:tr>
      <w:tr>
        <w:tc>
          <w:tcPr>
            <w:tcW w:type="dxa" w:w="26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Same-origin / allowlisted CORS</w:t>
            </w:r>
          </w:p>
        </w:tc>
        <w:tc>
          <w:tcPr>
            <w:tcW w:type="dxa" w:w="1900"/>
            <w:shd w:fill="E3F3E6" w:val="clear"/>
            <w:tcMar>
              <w:top w:type="dxa" w:w="60"/>
              <w:left w:type="dxa" w:w="100"/>
              <w:bottom w:type="dxa" w:w="60"/>
              <w:right w:type="dxa" w:w="100"/>
            </w:tcMar>
            <w:vAlign w:val="center"/>
          </w:tcPr>
          <w:p>
            <w:r>
              <w:rPr>
                <w:rFonts w:ascii="Calibri" w:cs="Calibri" w:eastAsia="Calibri" w:hAnsi="Calibri"/>
                <w:b/>
                <w:bCs/>
                <w:color w:val="1E7A34"/>
                <w:sz w:val="19"/>
                <w:szCs w:val="19"/>
              </w:rPr>
              <w:t xml:space="preserve">Implemented</w:t>
            </w:r>
          </w:p>
        </w:tc>
        <w:tc>
          <w:tcPr>
            <w:tcW w:type="dxa" w:w="4850"/>
            <w:tcMar>
              <w:top w:type="dxa" w:w="80"/>
              <w:left w:type="dxa" w:w="100"/>
              <w:bottom w:type="dxa" w:w="80"/>
              <w:right w:type="dxa" w:w="100"/>
            </w:tcMar>
            <w:vAlign w:val="center"/>
          </w:tcPr>
          <w:p>
            <w:pPr>
              <w:spacing w:after="0"/>
            </w:pPr>
            <w:r>
              <w:rPr>
                <w:rFonts w:ascii="Calibri" w:cs="Calibri" w:eastAsia="Calibri" w:hAnsi="Calibri"/>
                <w:color w:val="1F2937"/>
                <w:sz w:val="19"/>
                <w:szCs w:val="19"/>
              </w:rPr>
              <w:t xml:space="preserve">Explicit allowlist via CORS_ALLOWED_ORIGINS, no wildcard or reflected origin (app.ts). Correct.</w:t>
            </w:r>
          </w:p>
        </w:tc>
      </w:tr>
      <w:tr>
        <w:tc>
          <w:tcPr>
            <w:tcW w:type="dxa" w:w="26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CSRF protection</w:t>
            </w:r>
          </w:p>
        </w:tc>
        <w:tc>
          <w:tcPr>
            <w:tcW w:type="dxa" w:w="1900"/>
            <w:shd w:fill="E3F3E6" w:val="clear"/>
            <w:tcMar>
              <w:top w:type="dxa" w:w="60"/>
              <w:left w:type="dxa" w:w="100"/>
              <w:bottom w:type="dxa" w:w="60"/>
              <w:right w:type="dxa" w:w="100"/>
            </w:tcMar>
            <w:vAlign w:val="center"/>
          </w:tcPr>
          <w:p>
            <w:r>
              <w:rPr>
                <w:rFonts w:ascii="Calibri" w:cs="Calibri" w:eastAsia="Calibri" w:hAnsi="Calibri"/>
                <w:b/>
                <w:bCs/>
                <w:color w:val="1E7A34"/>
                <w:sz w:val="19"/>
                <w:szCs w:val="19"/>
              </w:rPr>
              <w:t xml:space="preserve">Implemented</w:t>
            </w:r>
          </w:p>
        </w:tc>
        <w:tc>
          <w:tcPr>
            <w:tcW w:type="dxa" w:w="4850"/>
            <w:tcMar>
              <w:top w:type="dxa" w:w="80"/>
              <w:left w:type="dxa" w:w="100"/>
              <w:bottom w:type="dxa" w:w="80"/>
              <w:right w:type="dxa" w:w="100"/>
            </w:tcMar>
            <w:vAlign w:val="center"/>
          </w:tcPr>
          <w:p>
            <w:pPr>
              <w:spacing w:after="0"/>
            </w:pPr>
            <w:r>
              <w:rPr>
                <w:rFonts w:ascii="Calibri" w:cs="Calibri" w:eastAsia="Calibri" w:hAnsi="Calibri"/>
                <w:color w:val="1F2937"/>
                <w:sz w:val="19"/>
                <w:szCs w:val="19"/>
              </w:rPr>
              <w:t xml:space="preserve">Applied globally via router.use(csrfProtection, requireAuthenticated, queuecraftRouter) in routes/index.ts, timing-safe comparison, narrowly scoped exemptions for the OIDC callback. Correct.</w:t>
            </w:r>
          </w:p>
        </w:tc>
      </w:tr>
      <w:tr>
        <w:tc>
          <w:tcPr>
            <w:tcW w:type="dxa" w:w="26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Centrally revocable session</w:t>
            </w:r>
          </w:p>
        </w:tc>
        <w:tc>
          <w:tcPr>
            <w:tcW w:type="dxa" w:w="1900"/>
            <w:shd w:fill="FCF1D9" w:val="clear"/>
            <w:tcMar>
              <w:top w:type="dxa" w:w="60"/>
              <w:left w:type="dxa" w:w="100"/>
              <w:bottom w:type="dxa" w:w="60"/>
              <w:right w:type="dxa" w:w="100"/>
            </w:tcMar>
            <w:vAlign w:val="center"/>
          </w:tcPr>
          <w:p>
            <w:r>
              <w:rPr>
                <w:rFonts w:ascii="Calibri" w:cs="Calibri" w:eastAsia="Calibri" w:hAnsi="Calibri"/>
                <w:b/>
                <w:bCs/>
                <w:color w:val="9A6300"/>
                <w:sz w:val="19"/>
                <w:szCs w:val="19"/>
              </w:rPr>
              <w:t xml:space="preserve">Partial</w:t>
            </w:r>
          </w:p>
        </w:tc>
        <w:tc>
          <w:tcPr>
            <w:tcW w:type="dxa" w:w="4850"/>
            <w:tcMar>
              <w:top w:type="dxa" w:w="80"/>
              <w:left w:type="dxa" w:w="100"/>
              <w:bottom w:type="dxa" w:w="80"/>
              <w:right w:type="dxa" w:w="100"/>
            </w:tcMar>
            <w:vAlign w:val="center"/>
          </w:tcPr>
          <w:p>
            <w:pPr>
              <w:spacing w:after="0"/>
            </w:pPr>
            <w:r>
              <w:rPr>
                <w:rFonts w:ascii="Calibri" w:cs="Calibri" w:eastAsia="Calibri" w:hAnsi="Calibri"/>
                <w:color w:val="1F2937"/>
                <w:sz w:val="19"/>
                <w:szCs w:val="19"/>
              </w:rPr>
              <w:t xml:space="preserve">Sessions are PostgreSQL-backed (connect-pg-simple, table user_sessions) with correct cookie flags — the storage model is right. However, no admin-facing "revoke this user's sessions" or force-logout mechanism exists, unlike the generation-counter pattern used elsewhere in this application family.</w:t>
            </w:r>
          </w:p>
        </w:tc>
      </w:tr>
      <w:tr>
        <w:tc>
          <w:tcPr>
            <w:tcW w:type="dxa" w:w="26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Secrets encrypted at rest, independent key</w:t>
            </w:r>
          </w:p>
        </w:tc>
        <w:tc>
          <w:tcPr>
            <w:tcW w:type="dxa" w:w="1900"/>
            <w:shd w:fill="FBE3E1" w:val="clear"/>
            <w:tcMar>
              <w:top w:type="dxa" w:w="60"/>
              <w:left w:type="dxa" w:w="100"/>
              <w:bottom w:type="dxa" w:w="60"/>
              <w:right w:type="dxa" w:w="100"/>
            </w:tcMar>
            <w:vAlign w:val="center"/>
          </w:tcPr>
          <w:p>
            <w:r>
              <w:rPr>
                <w:rFonts w:ascii="Calibri" w:cs="Calibri" w:eastAsia="Calibri" w:hAnsi="Calibri"/>
                <w:b/>
                <w:bCs/>
                <w:color w:val="A3231C"/>
                <w:sz w:val="19"/>
                <w:szCs w:val="19"/>
              </w:rPr>
              <w:t xml:space="preserve">Not implemented</w:t>
            </w:r>
          </w:p>
        </w:tc>
        <w:tc>
          <w:tcPr>
            <w:tcW w:type="dxa" w:w="4850"/>
            <w:tcMar>
              <w:top w:type="dxa" w:w="80"/>
              <w:left w:type="dxa" w:w="100"/>
              <w:bottom w:type="dxa" w:w="80"/>
              <w:right w:type="dxa" w:w="100"/>
            </w:tcMar>
            <w:vAlign w:val="center"/>
          </w:tcPr>
          <w:p>
            <w:pPr>
              <w:spacing w:after="0"/>
            </w:pPr>
            <w:r>
              <w:rPr>
                <w:rFonts w:ascii="Calibri" w:cs="Calibri" w:eastAsia="Calibri" w:hAnsi="Calibri"/>
                <w:color w:val="1F2937"/>
                <w:sz w:val="19"/>
                <w:szCs w:val="19"/>
              </w:rPr>
              <w:t xml:space="preserve">services/application-settings.ts derives the AES-256-GCM key for AD FS client secret, LDAP bind password, and SMTP password directly from SESSION_SECRET (const key = createHash("sha256").update(config.sessionSecret).digest()). This is the exact issue the baseline was revised to prevent after it was found and fixed in two other applications: rotating the session secret silently changes (or breaks) decryption of every stored credential, and the two secrets do not have independent compromise domains. The encryption algorithm itself (AES-256-GCM, random IV, auth tag) is implemented correctly — only the key source is wrong.</w:t>
            </w:r>
          </w:p>
        </w:tc>
      </w:tr>
      <w:tr>
        <w:tc>
          <w:tcPr>
            <w:tcW w:type="dxa" w:w="26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Database-level audit log protection</w:t>
            </w:r>
          </w:p>
        </w:tc>
        <w:tc>
          <w:tcPr>
            <w:tcW w:type="dxa" w:w="1900"/>
            <w:shd w:fill="E3F3E6" w:val="clear"/>
            <w:tcMar>
              <w:top w:type="dxa" w:w="60"/>
              <w:left w:type="dxa" w:w="100"/>
              <w:bottom w:type="dxa" w:w="60"/>
              <w:right w:type="dxa" w:w="100"/>
            </w:tcMar>
            <w:vAlign w:val="center"/>
          </w:tcPr>
          <w:p>
            <w:r>
              <w:rPr>
                <w:rFonts w:ascii="Calibri" w:cs="Calibri" w:eastAsia="Calibri" w:hAnsi="Calibri"/>
                <w:b/>
                <w:bCs/>
                <w:color w:val="1E7A34"/>
                <w:sz w:val="19"/>
                <w:szCs w:val="19"/>
              </w:rPr>
              <w:t xml:space="preserve">Implemented</w:t>
            </w:r>
          </w:p>
        </w:tc>
        <w:tc>
          <w:tcPr>
            <w:tcW w:type="dxa" w:w="4850"/>
            <w:tcMar>
              <w:top w:type="dxa" w:w="80"/>
              <w:left w:type="dxa" w:w="100"/>
              <w:bottom w:type="dxa" w:w="80"/>
              <w:right w:type="dxa" w:w="100"/>
            </w:tcMar>
            <w:vAlign w:val="center"/>
          </w:tcPr>
          <w:p>
            <w:pPr>
              <w:spacing w:after="0"/>
            </w:pPr>
            <w:r>
              <w:rPr>
                <w:rFonts w:ascii="Calibri" w:cs="Calibri" w:eastAsia="Calibri" w:hAnsi="Calibri"/>
                <w:color w:val="1F2937"/>
                <w:sz w:val="19"/>
                <w:szCs w:val="19"/>
              </w:rPr>
              <w:t xml:space="preserve">Migration 0001 installs a trigger blocking UPDATE, DELETE, and TRUNCATE on audit_log — the same correct pattern used elsewhere in this application family.</w:t>
            </w:r>
          </w:p>
        </w:tc>
      </w:tr>
      <w:tr>
        <w:tc>
          <w:tcPr>
            <w:tcW w:type="dxa" w:w="26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Audit coverage of sensitive mutations</w:t>
            </w:r>
          </w:p>
        </w:tc>
        <w:tc>
          <w:tcPr>
            <w:tcW w:type="dxa" w:w="1900"/>
            <w:shd w:fill="FCF1D9" w:val="clear"/>
            <w:tcMar>
              <w:top w:type="dxa" w:w="60"/>
              <w:left w:type="dxa" w:w="100"/>
              <w:bottom w:type="dxa" w:w="60"/>
              <w:right w:type="dxa" w:w="100"/>
            </w:tcMar>
            <w:vAlign w:val="center"/>
          </w:tcPr>
          <w:p>
            <w:r>
              <w:rPr>
                <w:rFonts w:ascii="Calibri" w:cs="Calibri" w:eastAsia="Calibri" w:hAnsi="Calibri"/>
                <w:b/>
                <w:bCs/>
                <w:color w:val="9A6300"/>
                <w:sz w:val="19"/>
                <w:szCs w:val="19"/>
              </w:rPr>
              <w:t xml:space="preserve">Partial</w:t>
            </w:r>
          </w:p>
        </w:tc>
        <w:tc>
          <w:tcPr>
            <w:tcW w:type="dxa" w:w="4850"/>
            <w:tcMar>
              <w:top w:type="dxa" w:w="80"/>
              <w:left w:type="dxa" w:w="100"/>
              <w:bottom w:type="dxa" w:w="80"/>
              <w:right w:type="dxa" w:w="100"/>
            </w:tcMar>
            <w:vAlign w:val="center"/>
          </w:tcPr>
          <w:p>
            <w:pPr>
              <w:spacing w:after="0"/>
            </w:pPr>
            <w:r>
              <w:rPr>
                <w:rFonts w:ascii="Calibri" w:cs="Calibri" w:eastAsia="Calibri" w:hAnsi="Calibri"/>
                <w:color w:val="1F2937"/>
                <w:sz w:val="19"/>
                <w:szCs w:val="19"/>
              </w:rPr>
              <w:t xml:space="preserve">Member, department, role, topic, milestone, and validation changes are all audited via a shared addActivity() helper (19 call sites). However, PUT /admin/settings — the route that changes the AD FS client secret, LDAP bind password, and SMTP password — never calls it. The most security-sensitive mutation in the application is the one that goes unaudited.</w:t>
            </w:r>
          </w:p>
        </w:tc>
      </w:tr>
      <w:tr>
        <w:tc>
          <w:tcPr>
            <w:tcW w:type="dxa" w:w="26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In-app backup &amp; restore</w:t>
            </w:r>
          </w:p>
        </w:tc>
        <w:tc>
          <w:tcPr>
            <w:tcW w:type="dxa" w:w="1900"/>
            <w:shd w:fill="FBE3E1" w:val="clear"/>
            <w:tcMar>
              <w:top w:type="dxa" w:w="60"/>
              <w:left w:type="dxa" w:w="100"/>
              <w:bottom w:type="dxa" w:w="60"/>
              <w:right w:type="dxa" w:w="100"/>
            </w:tcMar>
            <w:vAlign w:val="center"/>
          </w:tcPr>
          <w:p>
            <w:r>
              <w:rPr>
                <w:rFonts w:ascii="Calibri" w:cs="Calibri" w:eastAsia="Calibri" w:hAnsi="Calibri"/>
                <w:b/>
                <w:bCs/>
                <w:color w:val="A3231C"/>
                <w:sz w:val="19"/>
                <w:szCs w:val="19"/>
              </w:rPr>
              <w:t xml:space="preserve">Not implemented</w:t>
            </w:r>
          </w:p>
        </w:tc>
        <w:tc>
          <w:tcPr>
            <w:tcW w:type="dxa" w:w="4850"/>
            <w:tcMar>
              <w:top w:type="dxa" w:w="80"/>
              <w:left w:type="dxa" w:w="100"/>
              <w:bottom w:type="dxa" w:w="80"/>
              <w:right w:type="dxa" w:w="100"/>
            </w:tcMar>
            <w:vAlign w:val="center"/>
          </w:tcPr>
          <w:p>
            <w:pPr>
              <w:spacing w:after="0"/>
            </w:pPr>
            <w:r>
              <w:rPr>
                <w:rFonts w:ascii="Calibri" w:cs="Calibri" w:eastAsia="Calibri" w:hAnsi="Calibri"/>
                <w:color w:val="1F2937"/>
                <w:sz w:val="19"/>
                <w:szCs w:val="19"/>
              </w:rPr>
              <w:t xml:space="preserve">No backup or restore route exists anywhere in the codebase. Combined with production PostgreSQL running as a single-replica pod inside the application's own namespace (see below), there is currently no application-level recovery path at all if that pod or its volume is lost.</w:t>
            </w:r>
          </w:p>
        </w:tc>
      </w:tr>
      <w:tr>
        <w:tc>
          <w:tcPr>
            <w:tcW w:type="dxa" w:w="26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Backup/restore schema-drift test</w:t>
            </w:r>
          </w:p>
        </w:tc>
        <w:tc>
          <w:tcPr>
            <w:tcW w:type="dxa" w:w="1900"/>
            <w:shd w:fill="FBE3E1" w:val="clear"/>
            <w:tcMar>
              <w:top w:type="dxa" w:w="60"/>
              <w:left w:type="dxa" w:w="100"/>
              <w:bottom w:type="dxa" w:w="60"/>
              <w:right w:type="dxa" w:w="100"/>
            </w:tcMar>
            <w:vAlign w:val="center"/>
          </w:tcPr>
          <w:p>
            <w:r>
              <w:rPr>
                <w:rFonts w:ascii="Calibri" w:cs="Calibri" w:eastAsia="Calibri" w:hAnsi="Calibri"/>
                <w:b/>
                <w:bCs/>
                <w:color w:val="A3231C"/>
                <w:sz w:val="19"/>
                <w:szCs w:val="19"/>
              </w:rPr>
              <w:t xml:space="preserve">Not implemented</w:t>
            </w:r>
          </w:p>
        </w:tc>
        <w:tc>
          <w:tcPr>
            <w:tcW w:type="dxa" w:w="4850"/>
            <w:tcMar>
              <w:top w:type="dxa" w:w="80"/>
              <w:left w:type="dxa" w:w="100"/>
              <w:bottom w:type="dxa" w:w="80"/>
              <w:right w:type="dxa" w:w="100"/>
            </w:tcMar>
            <w:vAlign w:val="center"/>
          </w:tcPr>
          <w:p>
            <w:pPr>
              <w:spacing w:after="0"/>
            </w:pPr>
            <w:r>
              <w:rPr>
                <w:rFonts w:ascii="Calibri" w:cs="Calibri" w:eastAsia="Calibri" w:hAnsi="Calibri"/>
                <w:color w:val="1F2937"/>
                <w:sz w:val="19"/>
                <w:szCs w:val="19"/>
              </w:rPr>
              <w:t xml:space="preserve">Not applicable until backup/restore exists — see above.</w:t>
            </w:r>
          </w:p>
        </w:tc>
      </w:tr>
      <w:tr>
        <w:tc>
          <w:tcPr>
            <w:tcW w:type="dxa" w:w="26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Rate limiting / brute-force protection</w:t>
            </w:r>
          </w:p>
        </w:tc>
        <w:tc>
          <w:tcPr>
            <w:tcW w:type="dxa" w:w="1900"/>
            <w:shd w:fill="E3F3E6" w:val="clear"/>
            <w:tcMar>
              <w:top w:type="dxa" w:w="60"/>
              <w:left w:type="dxa" w:w="100"/>
              <w:bottom w:type="dxa" w:w="60"/>
              <w:right w:type="dxa" w:w="100"/>
            </w:tcMar>
            <w:vAlign w:val="center"/>
          </w:tcPr>
          <w:p>
            <w:r>
              <w:rPr>
                <w:rFonts w:ascii="Calibri" w:cs="Calibri" w:eastAsia="Calibri" w:hAnsi="Calibri"/>
                <w:b/>
                <w:bCs/>
                <w:color w:val="1E7A34"/>
                <w:sz w:val="19"/>
                <w:szCs w:val="19"/>
              </w:rPr>
              <w:t xml:space="preserve">Implemented</w:t>
            </w:r>
          </w:p>
        </w:tc>
        <w:tc>
          <w:tcPr>
            <w:tcW w:type="dxa" w:w="4850"/>
            <w:tcMar>
              <w:top w:type="dxa" w:w="80"/>
              <w:left w:type="dxa" w:w="100"/>
              <w:bottom w:type="dxa" w:w="80"/>
              <w:right w:type="dxa" w:w="100"/>
            </w:tcMar>
            <w:vAlign w:val="center"/>
          </w:tcPr>
          <w:p>
            <w:pPr>
              <w:spacing w:after="0"/>
            </w:pPr>
            <w:r>
              <w:rPr>
                <w:rFonts w:ascii="Calibri" w:cs="Calibri" w:eastAsia="Calibri" w:hAnsi="Calibri"/>
                <w:color w:val="1F2937"/>
                <w:sz w:val="19"/>
                <w:szCs w:val="19"/>
              </w:rPr>
              <w:t xml:space="preserve">Three separate limiters (general API, authentication, break-glass), correctly scoped — a finer-grained approach than the other three applications in this family.</w:t>
            </w:r>
          </w:p>
        </w:tc>
      </w:tr>
      <w:tr>
        <w:tc>
          <w:tcPr>
            <w:tcW w:type="dxa" w:w="26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Kubernetes / ArgoCD out of scope</w:t>
            </w:r>
          </w:p>
        </w:tc>
        <w:tc>
          <w:tcPr>
            <w:tcW w:type="dxa" w:w="1900"/>
            <w:shd w:fill="FBE3E1" w:val="clear"/>
            <w:tcMar>
              <w:top w:type="dxa" w:w="60"/>
              <w:left w:type="dxa" w:w="100"/>
              <w:bottom w:type="dxa" w:w="60"/>
              <w:right w:type="dxa" w:w="100"/>
            </w:tcMar>
            <w:vAlign w:val="center"/>
          </w:tcPr>
          <w:p>
            <w:r>
              <w:rPr>
                <w:rFonts w:ascii="Calibri" w:cs="Calibri" w:eastAsia="Calibri" w:hAnsi="Calibri"/>
                <w:b/>
                <w:bCs/>
                <w:color w:val="A3231C"/>
                <w:sz w:val="19"/>
                <w:szCs w:val="19"/>
              </w:rPr>
              <w:t xml:space="preserve">Not implemented</w:t>
            </w:r>
          </w:p>
        </w:tc>
        <w:tc>
          <w:tcPr>
            <w:tcW w:type="dxa" w:w="4850"/>
            <w:tcMar>
              <w:top w:type="dxa" w:w="80"/>
              <w:left w:type="dxa" w:w="100"/>
              <w:bottom w:type="dxa" w:w="80"/>
              <w:right w:type="dxa" w:w="100"/>
            </w:tcMar>
            <w:vAlign w:val="center"/>
          </w:tcPr>
          <w:p>
            <w:pPr>
              <w:spacing w:after="0"/>
            </w:pPr>
            <w:r>
              <w:rPr>
                <w:rFonts w:ascii="Calibri" w:cs="Calibri" w:eastAsia="Calibri" w:hAnsi="Calibri"/>
                <w:color w:val="1F2937"/>
                <w:sz w:val="19"/>
                <w:szCs w:val="19"/>
              </w:rPr>
              <w:t xml:space="preserve">deploy/kubernetes/ contains a full deployment topology: a flat queuecraft.yaml (Namespace, PVC, StatefulSet, Jobs, Deployments, Ingress) and a separate Kustomize base/overlays/test+prod structure. The current Management Application Baseline explicitly excludes Kubernetes/Helm/ArgoCD from every project — this application should not have any of it.</w:t>
            </w:r>
          </w:p>
        </w:tc>
      </w:tr>
      <w:tr>
        <w:tc>
          <w:tcPr>
            <w:tcW w:type="dxa" w:w="26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Production database is externally managed</w:t>
            </w:r>
          </w:p>
        </w:tc>
        <w:tc>
          <w:tcPr>
            <w:tcW w:type="dxa" w:w="1900"/>
            <w:shd w:fill="FBE3E1" w:val="clear"/>
            <w:tcMar>
              <w:top w:type="dxa" w:w="60"/>
              <w:left w:type="dxa" w:w="100"/>
              <w:bottom w:type="dxa" w:w="60"/>
              <w:right w:type="dxa" w:w="100"/>
            </w:tcMar>
            <w:vAlign w:val="center"/>
          </w:tcPr>
          <w:p>
            <w:r>
              <w:rPr>
                <w:rFonts w:ascii="Calibri" w:cs="Calibri" w:eastAsia="Calibri" w:hAnsi="Calibri"/>
                <w:b/>
                <w:bCs/>
                <w:color w:val="A3231C"/>
                <w:sz w:val="19"/>
                <w:szCs w:val="19"/>
              </w:rPr>
              <w:t xml:space="preserve">Not implemented</w:t>
            </w:r>
          </w:p>
        </w:tc>
        <w:tc>
          <w:tcPr>
            <w:tcW w:type="dxa" w:w="4850"/>
            <w:tcMar>
              <w:top w:type="dxa" w:w="80"/>
              <w:left w:type="dxa" w:w="100"/>
              <w:bottom w:type="dxa" w:w="80"/>
              <w:right w:type="dxa" w:w="100"/>
            </w:tcMar>
            <w:vAlign w:val="center"/>
          </w:tcPr>
          <w:p>
            <w:pPr>
              <w:spacing w:after="0"/>
            </w:pPr>
            <w:r>
              <w:rPr>
                <w:rFonts w:ascii="Calibri" w:cs="Calibri" w:eastAsia="Calibri" w:hAnsi="Calibri"/>
                <w:color w:val="1F2937"/>
                <w:sz w:val="19"/>
                <w:szCs w:val="19"/>
              </w:rPr>
              <w:t xml:space="preserve">docs/decisions/001-production-postgres-pod.md records an approved exception: production PostgreSQL runs as a single-replica StatefulSet inside the QueueCraft namespace, not the organisation's externally managed instance. This directly contradicts the baseline's production-database rule. Separately, the Kustomize prod overlay's api-env.yml instead references an external DATABASE_URL delivered via a Bitnami SealedSecret — a second, different production-database story that contradicts the first and introduces a cluster dependency (the Sealed Secrets controller) never discussed for this application family.</w:t>
            </w:r>
          </w:p>
        </w:tc>
      </w:tr>
      <w:tr>
        <w:tc>
          <w:tcPr>
            <w:tcW w:type="dxa" w:w="26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Container images built by GitHub Actions</w:t>
            </w:r>
          </w:p>
        </w:tc>
        <w:tc>
          <w:tcPr>
            <w:tcW w:type="dxa" w:w="1900"/>
            <w:shd w:fill="E3F3E6" w:val="clear"/>
            <w:tcMar>
              <w:top w:type="dxa" w:w="60"/>
              <w:left w:type="dxa" w:w="100"/>
              <w:bottom w:type="dxa" w:w="60"/>
              <w:right w:type="dxa" w:w="100"/>
            </w:tcMar>
            <w:vAlign w:val="center"/>
          </w:tcPr>
          <w:p>
            <w:r>
              <w:rPr>
                <w:rFonts w:ascii="Calibri" w:cs="Calibri" w:eastAsia="Calibri" w:hAnsi="Calibri"/>
                <w:b/>
                <w:bCs/>
                <w:color w:val="1E7A34"/>
                <w:sz w:val="19"/>
                <w:szCs w:val="19"/>
              </w:rPr>
              <w:t xml:space="preserve">Implemented</w:t>
            </w:r>
          </w:p>
        </w:tc>
        <w:tc>
          <w:tcPr>
            <w:tcW w:type="dxa" w:w="4850"/>
            <w:tcMar>
              <w:top w:type="dxa" w:w="80"/>
              <w:left w:type="dxa" w:w="100"/>
              <w:bottom w:type="dxa" w:w="80"/>
              <w:right w:type="dxa" w:w="100"/>
            </w:tcMar>
            <w:vAlign w:val="center"/>
          </w:tcPr>
          <w:p>
            <w:pPr>
              <w:spacing w:after="0"/>
            </w:pPr>
            <w:r>
              <w:rPr>
                <w:rFonts w:ascii="Calibri" w:cs="Calibri" w:eastAsia="Calibri" w:hAnsi="Calibri"/>
                <w:color w:val="1F2937"/>
                <w:sz w:val="19"/>
                <w:szCs w:val="19"/>
              </w:rPr>
              <w:t xml:space="preserve">GitHub-hosted runners (ubuntu-24.04), direct publish to GHCR, SBOM generation enabled. Correctly follows the established pattern.</w:t>
            </w:r>
          </w:p>
        </w:tc>
      </w:tr>
      <w:tr>
        <w:tc>
          <w:tcPr>
            <w:tcW w:type="dxa" w:w="26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Non-root containers</w:t>
            </w:r>
          </w:p>
        </w:tc>
        <w:tc>
          <w:tcPr>
            <w:tcW w:type="dxa" w:w="1900"/>
            <w:shd w:fill="E3F3E6" w:val="clear"/>
            <w:tcMar>
              <w:top w:type="dxa" w:w="60"/>
              <w:left w:type="dxa" w:w="100"/>
              <w:bottom w:type="dxa" w:w="60"/>
              <w:right w:type="dxa" w:w="100"/>
            </w:tcMar>
            <w:vAlign w:val="center"/>
          </w:tcPr>
          <w:p>
            <w:r>
              <w:rPr>
                <w:rFonts w:ascii="Calibri" w:cs="Calibri" w:eastAsia="Calibri" w:hAnsi="Calibri"/>
                <w:b/>
                <w:bCs/>
                <w:color w:val="1E7A34"/>
                <w:sz w:val="19"/>
                <w:szCs w:val="19"/>
              </w:rPr>
              <w:t xml:space="preserve">Implemented</w:t>
            </w:r>
          </w:p>
        </w:tc>
        <w:tc>
          <w:tcPr>
            <w:tcW w:type="dxa" w:w="4850"/>
            <w:tcMar>
              <w:top w:type="dxa" w:w="80"/>
              <w:left w:type="dxa" w:w="100"/>
              <w:bottom w:type="dxa" w:w="80"/>
              <w:right w:type="dxa" w:w="100"/>
            </w:tcMar>
            <w:vAlign w:val="center"/>
          </w:tcPr>
          <w:p>
            <w:pPr>
              <w:spacing w:after="0"/>
            </w:pPr>
            <w:r>
              <w:rPr>
                <w:rFonts w:ascii="Calibri" w:cs="Calibri" w:eastAsia="Calibri" w:hAnsi="Calibri"/>
                <w:color w:val="1F2937"/>
                <w:sz w:val="19"/>
                <w:szCs w:val="19"/>
              </w:rPr>
              <w:t xml:space="preserve">Dockerfiles run as a dedicated non-root user.</w:t>
            </w:r>
          </w:p>
        </w:tc>
      </w:tr>
      <w:tr>
        <w:tc>
          <w:tcPr>
            <w:tcW w:type="dxa" w:w="26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README documents every implemented control</w:t>
            </w:r>
          </w:p>
        </w:tc>
        <w:tc>
          <w:tcPr>
            <w:tcW w:type="dxa" w:w="1900"/>
            <w:shd w:fill="FBE3E1" w:val="clear"/>
            <w:tcMar>
              <w:top w:type="dxa" w:w="60"/>
              <w:left w:type="dxa" w:w="100"/>
              <w:bottom w:type="dxa" w:w="60"/>
              <w:right w:type="dxa" w:w="100"/>
            </w:tcMar>
            <w:vAlign w:val="center"/>
          </w:tcPr>
          <w:p>
            <w:r>
              <w:rPr>
                <w:rFonts w:ascii="Calibri" w:cs="Calibri" w:eastAsia="Calibri" w:hAnsi="Calibri"/>
                <w:b/>
                <w:bCs/>
                <w:color w:val="A3231C"/>
                <w:sz w:val="19"/>
                <w:szCs w:val="19"/>
              </w:rPr>
              <w:t xml:space="preserve">Not implemented</w:t>
            </w:r>
          </w:p>
        </w:tc>
        <w:tc>
          <w:tcPr>
            <w:tcW w:type="dxa" w:w="4850"/>
            <w:tcMar>
              <w:top w:type="dxa" w:w="80"/>
              <w:left w:type="dxa" w:w="100"/>
              <w:bottom w:type="dxa" w:w="80"/>
              <w:right w:type="dxa" w:w="100"/>
            </w:tcMar>
            <w:vAlign w:val="center"/>
          </w:tcPr>
          <w:p>
            <w:pPr>
              <w:spacing w:after="0"/>
            </w:pPr>
            <w:r>
              <w:rPr>
                <w:rFonts w:ascii="Calibri" w:cs="Calibri" w:eastAsia="Calibri" w:hAnsi="Calibri"/>
                <w:color w:val="1F2937"/>
                <w:sz w:val="19"/>
                <w:szCs w:val="19"/>
              </w:rPr>
              <w:t xml:space="preserve">There is no README.md in the repository at all — only replit.md (a brief operator cheat-sheet) and docs/security.md (a short prose summary). Neither documents the product for a new reader the way the baseline expects, and the AD FS/LDAPS/SMTP configuration, the audit log, and the backup story (or its absence) are not written up anywhere a reviewer would naturally look.</w:t>
            </w:r>
          </w:p>
        </w:tc>
      </w:tr>
      <w:tr>
        <w:tc>
          <w:tcPr>
            <w:tcW w:type="dxa" w:w="26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Automated tests</w:t>
            </w:r>
          </w:p>
        </w:tc>
        <w:tc>
          <w:tcPr>
            <w:tcW w:type="dxa" w:w="1900"/>
            <w:shd w:fill="FCF1D9" w:val="clear"/>
            <w:tcMar>
              <w:top w:type="dxa" w:w="60"/>
              <w:left w:type="dxa" w:w="100"/>
              <w:bottom w:type="dxa" w:w="60"/>
              <w:right w:type="dxa" w:w="100"/>
            </w:tcMar>
            <w:vAlign w:val="center"/>
          </w:tcPr>
          <w:p>
            <w:r>
              <w:rPr>
                <w:rFonts w:ascii="Calibri" w:cs="Calibri" w:eastAsia="Calibri" w:hAnsi="Calibri"/>
                <w:b/>
                <w:bCs/>
                <w:color w:val="9A6300"/>
                <w:sz w:val="19"/>
                <w:szCs w:val="19"/>
              </w:rPr>
              <w:t xml:space="preserve">Partial</w:t>
            </w:r>
          </w:p>
        </w:tc>
        <w:tc>
          <w:tcPr>
            <w:tcW w:type="dxa" w:w="4850"/>
            <w:tcMar>
              <w:top w:type="dxa" w:w="80"/>
              <w:left w:type="dxa" w:w="100"/>
              <w:bottom w:type="dxa" w:w="80"/>
              <w:right w:type="dxa" w:w="100"/>
            </w:tcMar>
            <w:vAlign w:val="center"/>
          </w:tcPr>
          <w:p>
            <w:pPr>
              <w:spacing w:after="0"/>
            </w:pPr>
            <w:r>
              <w:rPr>
                <w:rFonts w:ascii="Calibri" w:cs="Calibri" w:eastAsia="Calibri" w:hAnsi="Calibri"/>
                <w:color w:val="1F2937"/>
                <w:sz w:val="19"/>
                <w:szCs w:val="19"/>
              </w:rPr>
              <w:t xml:space="preserve">One test file, five test cases: CSRF rejection, topic-filter persistence, member creation, validation-replay protection, and finish-date/milestone rules. There is no test coverage for capability/department-scope authorization boundaries, LDAP (unsurprising, since it is not wired up), settings encryption, or rate limiting — thinner than the 9–30+ test files typical elsewhere in this application family.</w:t>
            </w:r>
          </w:p>
        </w:tc>
      </w:tr>
    </w:tbl>
    <w:p>
      <w:pPr>
        <w:pStyle w:val="Heading1"/>
        <w:pBdr>
          <w:bottom w:val="single" w:color="3F6C2E" w:sz="8" w:space="4"/>
        </w:pBdr>
        <w:spacing w:after="180" w:before="360"/>
      </w:pPr>
      <w:r>
        <w:rPr>
          <w:rFonts w:ascii="Calibri" w:cs="Calibri" w:eastAsia="Calibri" w:hAnsi="Calibri"/>
          <w:color w:val="3F6C2E"/>
        </w:rPr>
        <w:t xml:space="preserve">3. Priority Order</w:t>
      </w:r>
    </w:p>
    <w:p>
      <w:pPr>
        <w:pStyle w:val="Heading2"/>
        <w:spacing w:after="140" w:before="280"/>
      </w:pPr>
      <w:r>
        <w:rPr>
          <w:rFonts w:ascii="Calibri" w:cs="Calibri" w:eastAsia="Calibri" w:hAnsi="Calibri"/>
          <w:color w:val="1F2937"/>
        </w:rPr>
        <w:t xml:space="preserve">3.1 What this review found</w:t>
      </w:r>
    </w:p>
    <w:p>
      <w:pPr>
        <w:spacing w:after="120"/>
      </w:pPr>
      <w:r>
        <w:rPr>
          <w:rFonts w:ascii="Calibri" w:cs="Calibri" w:eastAsia="Calibri" w:hAnsi="Calibri"/>
        </w:rPr>
        <w:t xml:space="preserve">QueueCraft was built from the CHdN Management Application Baseline and gets a meaningful number of things right — the AD FS flow, CSRF, CORS, rate limiting, the audit-log trigger, and the CI pattern are all correctly implemented, in some respects more thoroughly than the applications the baseline was originally derived from. But several specific items were either missed, half-finished, or built in a way that contradicts the baseline outright. None of these are subtle: each is a concrete file and line, not a matter of interpretation.</w:t>
      </w:r>
    </w:p>
    <w:p>
      <w:pPr>
        <w:pStyle w:val="Heading2"/>
        <w:spacing w:after="140" w:before="280"/>
      </w:pPr>
      <w:r>
        <w:rPr>
          <w:rFonts w:ascii="Calibri" w:cs="Calibri" w:eastAsia="Calibri" w:hAnsi="Calibri"/>
          <w:color w:val="1F2937"/>
        </w:rPr>
        <w:t xml:space="preserve">3.2 Critical — resolve before this goes to, or stays in, production</w:t>
      </w:r>
    </w:p>
    <w:p>
      <w:pPr>
        <w:pStyle w:val="ListParagraph"/>
        <w:numPr>
          <w:ilvl w:val="0"/>
          <w:numId w:val="2"/>
        </w:numPr>
        <w:spacing w:after="80"/>
      </w:pPr>
      <w:r>
        <w:rPr>
          <w:rFonts w:ascii="Calibri" w:cs="Calibri" w:eastAsia="Calibri" w:hAnsi="Calibri"/>
          <w:sz w:val="21"/>
          <w:szCs w:val="21"/>
        </w:rPr>
        <w:t xml:space="preserve">Remove Kubernetes entirely (both the flat manifest and the Kustomize structure) and replace it with the same GitHub Actions → container image → externally managed PostgreSQL pattern used by every other application in this family. This is explicitly out of scope in the current baseline, and having two contradictory deployment stories committed at once is itself a sign the instruction was not followed rather than a deliberate, reviewed choice.</w:t>
      </w:r>
    </w:p>
    <w:p>
      <w:pPr>
        <w:pStyle w:val="ListParagraph"/>
        <w:numPr>
          <w:ilvl w:val="0"/>
          <w:numId w:val="2"/>
        </w:numPr>
        <w:spacing w:after="80"/>
      </w:pPr>
      <w:r>
        <w:rPr>
          <w:rFonts w:ascii="Calibri" w:cs="Calibri" w:eastAsia="Calibri" w:hAnsi="Calibri"/>
          <w:sz w:val="21"/>
          <w:szCs w:val="21"/>
        </w:rPr>
        <w:t xml:space="preserve">Point production DATABASE_URL at CHdN's externally managed PostgreSQL service. Retire the single-replica Postgres StatefulSet and its ADR — an accepted exception that contradicts the baseline is still a contradiction, and a second part of the same repository already disagrees with it.</w:t>
      </w:r>
    </w:p>
    <w:p>
      <w:pPr>
        <w:pStyle w:val="ListParagraph"/>
        <w:numPr>
          <w:ilvl w:val="0"/>
          <w:numId w:val="2"/>
        </w:numPr>
        <w:spacing w:after="80"/>
      </w:pPr>
      <w:r>
        <w:rPr>
          <w:rFonts w:ascii="Calibri" w:cs="Calibri" w:eastAsia="Calibri" w:hAnsi="Calibri"/>
          <w:sz w:val="21"/>
          <w:szCs w:val="21"/>
        </w:rPr>
        <w:t xml:space="preserve">Replace the SESSION_SECRET-derived settings-encryption key with an independent, operator-supplied key (e.g. APP_ENCRYPTION_KEY), validated at production startup, with no fallback to any other secret — the exact fix already proven in this application family.</w:t>
      </w:r>
    </w:p>
    <w:p>
      <w:pPr>
        <w:pStyle w:val="Heading2"/>
        <w:spacing w:after="140" w:before="280"/>
      </w:pPr>
      <w:r>
        <w:rPr>
          <w:rFonts w:ascii="Calibri" w:cs="Calibri" w:eastAsia="Calibri" w:hAnsi="Calibri"/>
          <w:color w:val="1F2937"/>
        </w:rPr>
        <w:t xml:space="preserve">3.3 High</w:t>
      </w:r>
    </w:p>
    <w:p>
      <w:pPr>
        <w:pStyle w:val="ListParagraph"/>
        <w:numPr>
          <w:ilvl w:val="0"/>
          <w:numId w:val="2"/>
        </w:numPr>
        <w:spacing w:after="80"/>
      </w:pPr>
      <w:r>
        <w:rPr>
          <w:rFonts w:ascii="Calibri" w:cs="Calibri" w:eastAsia="Calibri" w:hAnsi="Calibri"/>
          <w:sz w:val="21"/>
          <w:szCs w:val="21"/>
        </w:rPr>
        <w:t xml:space="preserve">Wire authenticateWithLdaps() to a real POST /auth/ldap route (the CSRF exemption already expects one to exist), or remove the LDAPS-fallback claim from docs/security.md if LDAP login is not actually going to ship.</w:t>
      </w:r>
    </w:p>
    <w:p>
      <w:pPr>
        <w:pStyle w:val="ListParagraph"/>
        <w:numPr>
          <w:ilvl w:val="0"/>
          <w:numId w:val="2"/>
        </w:numPr>
        <w:spacing w:after="80"/>
      </w:pPr>
      <w:r>
        <w:rPr>
          <w:rFonts w:ascii="Calibri" w:cs="Calibri" w:eastAsia="Calibri" w:hAnsi="Calibri"/>
          <w:sz w:val="21"/>
          <w:szCs w:val="21"/>
        </w:rPr>
        <w:t xml:space="preserve">Add addActivity() (or an equivalent audit call) to PUT /admin/settings so changes to AD FS, LDAP, and SMTP configuration are recorded like every other sensitive mutation.</w:t>
      </w:r>
    </w:p>
    <w:p>
      <w:pPr>
        <w:pStyle w:val="ListParagraph"/>
        <w:numPr>
          <w:ilvl w:val="0"/>
          <w:numId w:val="2"/>
        </w:numPr>
        <w:spacing w:after="80"/>
      </w:pPr>
      <w:r>
        <w:rPr>
          <w:rFonts w:ascii="Calibri" w:cs="Calibri" w:eastAsia="Calibri" w:hAnsi="Calibri"/>
          <w:sz w:val="21"/>
          <w:szCs w:val="21"/>
        </w:rPr>
        <w:t xml:space="preserve">Add in-app backup and restore, covering every table, with the same automated schema-drift test used elsewhere in this application family — this is more urgent than usual here because production PostgreSQL currently has no other documented recovery path once the Kubernetes/external-database fix above lands.</w:t>
      </w:r>
    </w:p>
    <w:p>
      <w:pPr>
        <w:pStyle w:val="Heading2"/>
        <w:spacing w:after="140" w:before="280"/>
      </w:pPr>
      <w:r>
        <w:rPr>
          <w:rFonts w:ascii="Calibri" w:cs="Calibri" w:eastAsia="Calibri" w:hAnsi="Calibri"/>
          <w:color w:val="1F2937"/>
        </w:rPr>
        <w:t xml:space="preserve">3.4 Medium</w:t>
      </w:r>
    </w:p>
    <w:p>
      <w:pPr>
        <w:pStyle w:val="ListParagraph"/>
        <w:numPr>
          <w:ilvl w:val="0"/>
          <w:numId w:val="2"/>
        </w:numPr>
        <w:spacing w:after="80"/>
      </w:pPr>
      <w:r>
        <w:rPr>
          <w:rFonts w:ascii="Calibri" w:cs="Calibri" w:eastAsia="Calibri" w:hAnsi="Calibri"/>
          <w:sz w:val="21"/>
          <w:szCs w:val="21"/>
        </w:rPr>
        <w:t xml:space="preserve">Add a README.md documenting the product, its authentication methods, the audit log, and backup/restore, matching the standard set by the other applications in this family.</w:t>
      </w:r>
    </w:p>
    <w:p>
      <w:pPr>
        <w:pStyle w:val="ListParagraph"/>
        <w:numPr>
          <w:ilvl w:val="0"/>
          <w:numId w:val="2"/>
        </w:numPr>
        <w:spacing w:after="80"/>
      </w:pPr>
      <w:r>
        <w:rPr>
          <w:rFonts w:ascii="Calibri" w:cs="Calibri" w:eastAsia="Calibri" w:hAnsi="Calibri"/>
          <w:sz w:val="21"/>
          <w:szCs w:val="21"/>
        </w:rPr>
        <w:t xml:space="preserve">Expand test coverage to include authorization/capability boundaries across roles and departments, and a round-trip test for the settings-encryption key once it is fixed.</w:t>
      </w:r>
    </w:p>
    <w:p>
      <w:pPr>
        <w:pStyle w:val="ListParagraph"/>
        <w:numPr>
          <w:ilvl w:val="0"/>
          <w:numId w:val="2"/>
        </w:numPr>
        <w:spacing w:after="80"/>
      </w:pPr>
      <w:r>
        <w:rPr>
          <w:rFonts w:ascii="Calibri" w:cs="Calibri" w:eastAsia="Calibri" w:hAnsi="Calibri"/>
          <w:sz w:val="21"/>
          <w:szCs w:val="21"/>
        </w:rPr>
        <w:t xml:space="preserve">Correct the misleading "LDAPS authentication failed" log message in the local-admin login handler (routes/auth.ts) — it has nothing to do with LDAP and will misdirect whoever debugs it next.</w:t>
      </w:r>
    </w:p>
    <w:p>
      <w:pPr>
        <w:pStyle w:val="Heading2"/>
        <w:spacing w:after="140" w:before="280"/>
      </w:pPr>
      <w:r>
        <w:rPr>
          <w:rFonts w:ascii="Calibri" w:cs="Calibri" w:eastAsia="Calibri" w:hAnsi="Calibri"/>
          <w:color w:val="1F2937"/>
        </w:rPr>
        <w:t xml:space="preserve">3.5 Not a gap</w:t>
      </w:r>
    </w:p>
    <w:p>
      <w:pPr>
        <w:spacing w:after="120"/>
      </w:pPr>
      <w:r>
        <w:rPr>
          <w:rFonts w:ascii="Calibri" w:cs="Calibri" w:eastAsia="Calibri" w:hAnsi="Calibri"/>
        </w:rPr>
        <w:t xml:space="preserve">Sessions are correctly PostgreSQL-backed with proper cookie flags; the absence of a generation-counter-based bulk-revocation mechanism is a smaller gap than the items above and can be addressed alongside the backup/restore work rather than urgently.</w:t>
      </w:r>
    </w:p>
    <w:p>
      <w:pPr>
        <w:pStyle w:val="Heading1"/>
        <w:pBdr>
          <w:bottom w:val="single" w:color="3F6C2E" w:sz="8" w:space="4"/>
        </w:pBdr>
        <w:spacing w:after="180" w:before="360"/>
      </w:pPr>
      <w:r>
        <w:rPr>
          <w:rFonts w:ascii="Calibri" w:cs="Calibri" w:eastAsia="Calibri" w:hAnsi="Calibri"/>
          <w:color w:val="3F6C2E"/>
        </w:rPr>
        <w:t xml:space="preserve">4. Copy-Ready Replit Prompt</w:t>
      </w:r>
    </w:p>
    <w:p>
      <w:pPr>
        <w:spacing w:after="120"/>
      </w:pPr>
      <w:r>
        <w:rPr>
          <w:rFonts w:ascii="Calibri" w:cs="Calibri" w:eastAsia="Calibri" w:hAnsi="Calibri"/>
        </w:rPr>
        <w:t xml:space="preserve">Paste this directly into a Replit Agent session against the QueueCraft repository. It is scoped to exactly the gaps found in Section 2 — it will not ask the agent to re-implement controls that already work.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1D5DB" w:sz="4"/>
              <w:left w:val="single" w:color="D1D5DB" w:sz="4"/>
              <w:bottom w:val="single" w:color="D1D5DB" w:sz="4"/>
              <w:right w:val="single" w:color="D1D5DB" w:sz="4"/>
            </w:tcBorders>
            <w:shd w:fill="F5F5F0" w:val="clear"/>
            <w:tcMar>
              <w:top w:type="dxa" w:w="180"/>
              <w:left w:type="dxa" w:w="220"/>
              <w:bottom w:type="dxa" w:w="180"/>
              <w:right w:type="dxa" w:w="220"/>
            </w:tcMar>
          </w:tcPr>
          <w:p>
            <w:pPr>
              <w:spacing w:after="0" w:line="264"/>
            </w:pPr>
            <w:r>
              <w:rPr>
                <w:rFonts w:ascii="Consolas" w:cs="Consolas" w:eastAsia="Consolas" w:hAnsi="Consolas"/>
                <w:color w:val="1F2937"/>
                <w:sz w:val="17"/>
                <w:szCs w:val="17"/>
              </w:rPr>
              <w:t xml:space="preserve">You are working on QueueCraft, an internal IT topic-routing application built from the CHdN Management Application Baseline. A review of the published source code found several items that were either missed, half-finished, or built in a way that contradicts the baseline. This prompt covers exactly those items — the AD FS flow, CSRF, CORS, rate limiting, the audit-log trigger, and the CI pattern are all already correct and must be preserved as-is.</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OPERATING PRINCIPLES</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1. Inspect the complete repository before changing anything — confirm each finding below still holds.</w:t>
            </w:r>
          </w:p>
          <w:p>
            <w:pPr>
              <w:spacing w:after="0" w:line="264"/>
            </w:pPr>
            <w:r>
              <w:rPr>
                <w:rFonts w:ascii="Consolas" w:cs="Consolas" w:eastAsia="Consolas" w:hAnsi="Consolas"/>
                <w:color w:val="1F2937"/>
                <w:sz w:val="17"/>
                <w:szCs w:val="17"/>
              </w:rPr>
              <w:t xml:space="preserve">2. Preserve everything already working: the AD FS OIDC flow (routes/auth.ts, services/oidc.ts), the global CSRF middleware, the CORS allowlist, the three rate limiters, the audit_log database trigger, the addActivity() audit helper and its 19 existing call sites, the CI workflow, and the non-root Docker images.</w:t>
            </w:r>
          </w:p>
          <w:p>
            <w:pPr>
              <w:spacing w:after="0" w:line="264"/>
            </w:pPr>
            <w:r>
              <w:rPr>
                <w:rFonts w:ascii="Consolas" w:cs="Consolas" w:eastAsia="Consolas" w:hAnsi="Consolas"/>
                <w:color w:val="1F2937"/>
                <w:sz w:val="17"/>
                <w:szCs w:val="17"/>
              </w:rPr>
              <w:t xml:space="preserve">3. Do NOT add multi-factor authentication or Kerberos/SPNEGO.</w:t>
            </w:r>
          </w:p>
          <w:p>
            <w:pPr>
              <w:spacing w:after="0" w:line="264"/>
            </w:pPr>
            <w:r>
              <w:rPr>
                <w:rFonts w:ascii="Consolas" w:cs="Consolas" w:eastAsia="Consolas" w:hAnsi="Consolas"/>
                <w:color w:val="1F2937"/>
                <w:sz w:val="17"/>
                <w:szCs w:val="17"/>
              </w:rPr>
              <w:t xml:space="preserve">4. Keep the application runnable after each phase.</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FIX 1 — Remove Kubernetes entirely (Critical)</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Delete deploy/kubernetes/ in full — both queuecraft.yaml (the flat manifest with its own Postgres StatefulSet) and the kustomize/ directory (base + overlays/test + overlays/prod, which depends on a Bitnami Sealed Secrets controller that was never approved for this application family). Delete deliverables/queuecraft-kubernetes-deployment.zip. Delete docs/decisions/001-production-postgres-pod.md and remove its references from replit.md. Kubernetes, Helm, and ArgoCD are out of scope for every project in this family — this application should deploy the same way as the others: a GitHub Actions workflow (already correct, keep deploy/docker/ and .github/workflows/ as they are) building and publishing container images, run against PostgreSQL directly.</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FIX 2 — Point production at the externally managed PostgreSQL service (Critical)</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Set DATABASE_URL in production to CHdN's externally managed, centrally backed-up and monitored PostgreSQL instance, with a separate, least-privilege database role for this application. Do not run a project-owned PostgreSQL container or pod in production. Document this in the new README (see FIX 6) exactly as the other applications in this family document it.</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FIX 3 — Independent settings-encryption key (Critical)</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File: artifacts/api-server/src/services/application-settings.ts</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Today: const key = createHash("sha256").update(config.sessionSecret).digest(); — this derives the key that encrypts the AD FS client secret, LDAP bind password, and SMTP password from SESSION_SECRET, so the two secrets do not have independent compromise or rotation domains.</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1. Add a new required environment variable, e.g. APP_ENCRYPTION_KEY (32 random bytes, hex or base64url), read in config.ts.</w:t>
            </w:r>
          </w:p>
          <w:p>
            <w:pPr>
              <w:spacing w:after="0" w:line="264"/>
            </w:pPr>
            <w:r>
              <w:rPr>
                <w:rFonts w:ascii="Consolas" w:cs="Consolas" w:eastAsia="Consolas" w:hAnsi="Consolas"/>
                <w:color w:val="1F2937"/>
                <w:sz w:val="17"/>
                <w:szCs w:val="17"/>
              </w:rPr>
              <w:t xml:space="preserve">2. Derive the AES-256-GCM key from APP_ENCRYPTION_KEY (HKDF-SHA256), not from SESSION_SECRET.</w:t>
            </w:r>
          </w:p>
          <w:p>
            <w:pPr>
              <w:spacing w:after="0" w:line="264"/>
            </w:pPr>
            <w:r>
              <w:rPr>
                <w:rFonts w:ascii="Consolas" w:cs="Consolas" w:eastAsia="Consolas" w:hAnsi="Consolas"/>
                <w:color w:val="1F2937"/>
                <w:sz w:val="17"/>
                <w:szCs w:val="17"/>
              </w:rPr>
              <w:t xml:space="preserve">3. Refuse to start in production if APP_ENCRYPTION_KEY is absent, a recognisable placeholder, or shorter than 32 random bytes — reuse the validation pattern already proven elsewhere in this application family (reject the key if it is identical to SESSION_SECRET, too).</w:t>
            </w:r>
          </w:p>
          <w:p>
            <w:pPr>
              <w:spacing w:after="0" w:line="264"/>
            </w:pPr>
            <w:r>
              <w:rPr>
                <w:rFonts w:ascii="Consolas" w:cs="Consolas" w:eastAsia="Consolas" w:hAnsi="Consolas"/>
                <w:color w:val="1F2937"/>
                <w:sz w:val="17"/>
                <w:szCs w:val="17"/>
              </w:rPr>
              <w:t xml:space="preserve">4. Existing encrypted settings rows were encrypted with the old key; add a small migration path (read with the old derivation, re-encrypt and save with the new one) so the one runtime settings row is not silently orphaned.</w:t>
            </w:r>
          </w:p>
          <w:p>
            <w:pPr>
              <w:spacing w:after="0" w:line="264"/>
            </w:pPr>
            <w:r>
              <w:rPr>
                <w:rFonts w:ascii="Consolas" w:cs="Consolas" w:eastAsia="Consolas" w:hAnsi="Consolas"/>
                <w:color w:val="1F2937"/>
                <w:sz w:val="17"/>
                <w:szCs w:val="17"/>
              </w:rPr>
              <w:t xml:space="preserve">5. Add a test covering: encrypt/decrypt round-trip with the new key; production refuses to start with a missing, short, or session-secret-matching key.</w:t>
            </w:r>
          </w:p>
          <w:p>
            <w:pPr>
              <w:spacing w:after="0" w:line="264"/>
            </w:pPr>
            <w:r>
              <w:rPr>
                <w:rFonts w:ascii="Consolas" w:cs="Consolas" w:eastAsia="Consolas" w:hAnsi="Consolas"/>
                <w:color w:val="1F2937"/>
                <w:sz w:val="17"/>
                <w:szCs w:val="17"/>
              </w:rPr>
              <w:t xml:space="preserve">6. Keep the AES-256-GCM algorithm, IV, and auth-tag handling exactly as they are — only the key source changes.</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FIX 4 — Wire up LDAPS login (High)</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File: artifacts/api-server/src/routes/auth.ts</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services/ldaps.ts already exports a complete, correct authenticateWithLdaps(username, password) function — it is simply never called. Add a route (e.g. POST /auth/ldap, matching the path already reserved in middleware/security.ts's CSRF exemption list) that: validates the request body, calls authenticateWithLdaps(), resolves or provisions the matching member the same way routes/auth.ts's resolveMember() does for AD FS (provider: "ldaps"), regenerates the session, and returns a CSRF token — mirroring the existing AD FS callback and local-admin login handlers. Add rate limiting (authLimiter, already imported elsewhere in this file) to the new route. If LDAP login is not meant to ship yet, remove the "LDAPS as an approved fallback" claim from docs/security.md instead so the documentation matches reality either way.</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FIX 5 — Audit settings changes (High)</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File: artifacts/api-server/src/routes/queuecraft.ts, PUT /admin/settings</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Add a call to addActivity() (the same helper used by every other mutating route in this file) after a successful settings update, recording which fields changed (never the values themselves) and the acting member. This is the single most security-sensitive route in the application and is currently the one exception to otherwise-consistent audit coverage.</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FIX 6 — In-app backup &amp; restore (High)</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Add an admin-only backup export and restore, modelled directly on the pattern already proven elsewhere in this application family: a single self-contained export covering every table in lib/db/src/schema/queuecraft.ts, produced inside one consistent transaction; a transactional restore with FK-safe ordering and sequence repair; and an automated test that introspects the live schema and fails the build if a table is ever added without also being added to the backup list. Given FIX 1 and FIX 2 remove the only other recovery story this application currently has, treat this as time-sensitive rather than a routine addition.</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FIX 7 — Documentation and cleanup (Medium)</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1. Add a README.md documenting: what QueueCraft does, its authentication methods (AD FS, the local bootstrap admin, and LDAP once FIX 4 ships), the audit log and its database-level protection, and backup/restore once FIX 6 ships — matching the structure used by the other applications in this family.</w:t>
            </w:r>
          </w:p>
          <w:p>
            <w:pPr>
              <w:spacing w:after="0" w:line="264"/>
            </w:pPr>
            <w:r>
              <w:rPr>
                <w:rFonts w:ascii="Consolas" w:cs="Consolas" w:eastAsia="Consolas" w:hAnsi="Consolas"/>
                <w:color w:val="1F2937"/>
                <w:sz w:val="17"/>
                <w:szCs w:val="17"/>
              </w:rPr>
              <w:t xml:space="preserve">2. Fix the misleading log message in routes/auth.ts's local-admin login handler — it currently logs "LDAPS authentication failed" on a failed local-admin login, which has nothing to do with LDAP.</w:t>
            </w:r>
          </w:p>
          <w:p>
            <w:pPr>
              <w:spacing w:after="0" w:line="264"/>
            </w:pPr>
            <w:r>
              <w:rPr>
                <w:rFonts w:ascii="Consolas" w:cs="Consolas" w:eastAsia="Consolas" w:hAnsi="Consolas"/>
                <w:color w:val="1F2937"/>
                <w:sz w:val="17"/>
                <w:szCs w:val="17"/>
              </w:rPr>
              <w:t xml:space="preserve">3. Add authorization tests covering the capability/department-scope matrix (which roles can validate, assign, manage settings, and use break-glass, and which cannot) and a round-trip test for the settings encryption key from FIX 3.</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DELIVERY ORDER</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1. Assessment confirming these findings still hold against the current code.</w:t>
            </w:r>
          </w:p>
          <w:p>
            <w:pPr>
              <w:spacing w:after="0" w:line="264"/>
            </w:pPr>
            <w:r>
              <w:rPr>
                <w:rFonts w:ascii="Consolas" w:cs="Consolas" w:eastAsia="Consolas" w:hAnsi="Consolas"/>
                <w:color w:val="1F2937"/>
                <w:sz w:val="17"/>
                <w:szCs w:val="17"/>
              </w:rPr>
              <w:t xml:space="preserve">2. FIX 1, FIX 2, and FIX 3 together (Critical) — these three are related: removing Kubernetes and pointing at the externally managed database resolves the deployment contradiction, and the encryption-key fix should ship in the same review cycle since it touches the same settings/config surface.</w:t>
            </w:r>
          </w:p>
          <w:p>
            <w:pPr>
              <w:spacing w:after="0" w:line="264"/>
            </w:pPr>
            <w:r>
              <w:rPr>
                <w:rFonts w:ascii="Consolas" w:cs="Consolas" w:eastAsia="Consolas" w:hAnsi="Consolas"/>
                <w:color w:val="1F2937"/>
                <w:sz w:val="17"/>
                <w:szCs w:val="17"/>
              </w:rPr>
              <w:t xml:space="preserve">3. FIX 4 and FIX 5 (High).</w:t>
            </w:r>
          </w:p>
          <w:p>
            <w:pPr>
              <w:spacing w:after="0" w:line="264"/>
            </w:pPr>
            <w:r>
              <w:rPr>
                <w:rFonts w:ascii="Consolas" w:cs="Consolas" w:eastAsia="Consolas" w:hAnsi="Consolas"/>
                <w:color w:val="1F2937"/>
                <w:sz w:val="17"/>
                <w:szCs w:val="17"/>
              </w:rPr>
              <w:t xml:space="preserve">4. FIX 6 (High) — treat as time-sensitive given FIX 1/2 remove the only other recovery path.</w:t>
            </w:r>
          </w:p>
          <w:p>
            <w:pPr>
              <w:spacing w:after="0" w:line="264"/>
            </w:pPr>
            <w:r>
              <w:rPr>
                <w:rFonts w:ascii="Consolas" w:cs="Consolas" w:eastAsia="Consolas" w:hAnsi="Consolas"/>
                <w:color w:val="1F2937"/>
                <w:sz w:val="17"/>
                <w:szCs w:val="17"/>
              </w:rPr>
              <w:t xml:space="preserve">5. FIX 7 (Medium).</w:t>
            </w:r>
          </w:p>
          <w:p>
            <w:pPr>
              <w:spacing w:after="0" w:line="264"/>
            </w:pPr>
            <w:r>
              <w:rPr>
                <w:rFonts w:ascii="Consolas" w:cs="Consolas" w:eastAsia="Consolas" w:hAnsi="Consolas"/>
                <w:color w:val="1F2937"/>
                <w:sz w:val="17"/>
                <w:szCs w:val="17"/>
              </w:rPr>
              <w:t xml:space="preserve">6. A final compliance matrix showing Passed / Partially Passed / Not Applicable for every item in this brief.</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Do not mark this remediation complete while any Kubernetes manifest remains in the repository, while the settings-encryption key is still derived from SESSION_SECRET, or while production PostgreSQL is anything other than the externally managed CHdN instance.</w:t>
            </w:r>
          </w:p>
        </w:tc>
      </w:tr>
    </w:tbl>
    <w:p>
      <w:pPr>
        <w:pStyle w:val="Heading1"/>
        <w:pBdr>
          <w:bottom w:val="single" w:color="3F6C2E" w:sz="8" w:space="4"/>
        </w:pBdr>
        <w:spacing w:after="180" w:before="360"/>
      </w:pPr>
      <w:r>
        <w:rPr>
          <w:rFonts w:ascii="Calibri" w:cs="Calibri" w:eastAsia="Calibri" w:hAnsi="Calibri"/>
          <w:color w:val="3F6C2E"/>
        </w:rPr>
        <w:t xml:space="preserve">5. Definition of Done</w:t>
      </w:r>
    </w:p>
    <w:p>
      <w:pPr>
        <w:spacing w:after="120"/>
      </w:pPr>
      <w:r>
        <w:rPr>
          <w:rFonts w:ascii="Calibri" w:cs="Calibri" w:eastAsia="Calibri" w:hAnsi="Calibri"/>
        </w:rPr>
        <w:t xml:space="preserve">QueueCraft is compliant with the CHdN Management Application Baseline only when every row in the table below is green. Once the changes in Section 4 are applied, re-run the portfolio-wide security analysis to confirm.</w:t>
      </w:r>
    </w:p>
    <w:tbl>
      <w:tblPr>
        <w:tblW w:type="dxa" w:w="9150"/>
        <w:tblBorders>
          <w:top w:val="single" w:color="D1D5DB" w:sz="4"/>
          <w:left w:val="single" w:color="D1D5DB" w:sz="4"/>
          <w:bottom w:val="single" w:color="D1D5DB" w:sz="4"/>
          <w:right w:val="single" w:color="D1D5DB" w:sz="4"/>
          <w:insideH w:val="single" w:color="D1D5DB" w:sz="4"/>
          <w:insideV w:val="single" w:color="D1D5DB" w:sz="4"/>
        </w:tblBorders>
      </w:tblPr>
      <w:tblGrid>
        <w:gridCol w:w="2600"/>
        <w:gridCol w:w="1700"/>
        <w:gridCol w:w="4850"/>
      </w:tblGrid>
      <w:tr>
        <w:trPr>
          <w:tblHeader/>
        </w:trPr>
        <w:tc>
          <w:tcPr>
            <w:tcW w:type="dxa" w:w="2600"/>
            <w:shd w:fill="3F6C2E"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Baseline control</w:t>
            </w:r>
          </w:p>
        </w:tc>
        <w:tc>
          <w:tcPr>
            <w:tcW w:type="dxa" w:w="1700"/>
            <w:shd w:fill="3F6C2E"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Status</w:t>
            </w:r>
          </w:p>
        </w:tc>
        <w:tc>
          <w:tcPr>
            <w:tcW w:type="dxa" w:w="4850"/>
            <w:shd w:fill="3F6C2E"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What's needed to reach green</w:t>
            </w:r>
          </w:p>
        </w:tc>
      </w:tr>
      <w:tr>
        <w:tc>
          <w:tcPr>
            <w:tcW w:type="dxa" w:w="26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Local password hashing (scrypt)</w:t>
            </w:r>
          </w:p>
        </w:tc>
        <w:tc>
          <w:tcPr>
            <w:tcW w:type="dxa" w:w="1900"/>
            <w:shd w:fill="E3F3E6" w:val="clear"/>
            <w:tcMar>
              <w:top w:type="dxa" w:w="60"/>
              <w:left w:type="dxa" w:w="100"/>
              <w:bottom w:type="dxa" w:w="60"/>
              <w:right w:type="dxa" w:w="100"/>
            </w:tcMar>
            <w:vAlign w:val="center"/>
          </w:tcPr>
          <w:p>
            <w:r>
              <w:rPr>
                <w:rFonts w:ascii="Calibri" w:cs="Calibri" w:eastAsia="Calibri" w:hAnsi="Calibri"/>
                <w:b/>
                <w:bCs/>
                <w:color w:val="1E7A34"/>
                <w:sz w:val="19"/>
                <w:szCs w:val="19"/>
              </w:rPr>
              <w:t xml:space="preserve">Implemented</w:t>
            </w:r>
          </w:p>
        </w:tc>
        <w:tc>
          <w:tcPr>
            <w:tcW w:type="dxa" w:w="4850"/>
            <w:tcMar>
              <w:top w:type="dxa" w:w="80"/>
              <w:left w:type="dxa" w:w="100"/>
              <w:bottom w:type="dxa" w:w="80"/>
              <w:right w:type="dxa" w:w="100"/>
            </w:tcMar>
            <w:vAlign w:val="center"/>
          </w:tcPr>
          <w:p>
            <w:pPr>
              <w:spacing w:after="0"/>
            </w:pPr>
            <w:r>
              <w:rPr>
                <w:rFonts w:ascii="Calibri" w:cs="Calibri" w:eastAsia="Calibri" w:hAnsi="Calibri"/>
                <w:color w:val="1F2937"/>
                <w:sz w:val="19"/>
                <w:szCs w:val="19"/>
              </w:rPr>
              <w:t xml:space="preserve">Target state — verify after remediation.</w:t>
            </w:r>
          </w:p>
        </w:tc>
      </w:tr>
      <w:tr>
        <w:tc>
          <w:tcPr>
            <w:tcW w:type="dxa" w:w="26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AD FS OpenID Connect SSO</w:t>
            </w:r>
          </w:p>
        </w:tc>
        <w:tc>
          <w:tcPr>
            <w:tcW w:type="dxa" w:w="1900"/>
            <w:shd w:fill="E3F3E6" w:val="clear"/>
            <w:tcMar>
              <w:top w:type="dxa" w:w="60"/>
              <w:left w:type="dxa" w:w="100"/>
              <w:bottom w:type="dxa" w:w="60"/>
              <w:right w:type="dxa" w:w="100"/>
            </w:tcMar>
            <w:vAlign w:val="center"/>
          </w:tcPr>
          <w:p>
            <w:r>
              <w:rPr>
                <w:rFonts w:ascii="Calibri" w:cs="Calibri" w:eastAsia="Calibri" w:hAnsi="Calibri"/>
                <w:b/>
                <w:bCs/>
                <w:color w:val="1E7A34"/>
                <w:sz w:val="19"/>
                <w:szCs w:val="19"/>
              </w:rPr>
              <w:t xml:space="preserve">Implemented</w:t>
            </w:r>
          </w:p>
        </w:tc>
        <w:tc>
          <w:tcPr>
            <w:tcW w:type="dxa" w:w="4850"/>
            <w:tcMar>
              <w:top w:type="dxa" w:w="80"/>
              <w:left w:type="dxa" w:w="100"/>
              <w:bottom w:type="dxa" w:w="80"/>
              <w:right w:type="dxa" w:w="100"/>
            </w:tcMar>
            <w:vAlign w:val="center"/>
          </w:tcPr>
          <w:p>
            <w:pPr>
              <w:spacing w:after="0"/>
            </w:pPr>
            <w:r>
              <w:rPr>
                <w:rFonts w:ascii="Calibri" w:cs="Calibri" w:eastAsia="Calibri" w:hAnsi="Calibri"/>
                <w:color w:val="1F2937"/>
                <w:sz w:val="19"/>
                <w:szCs w:val="19"/>
              </w:rPr>
              <w:t xml:space="preserve">Target state — verify after remediation.</w:t>
            </w:r>
          </w:p>
        </w:tc>
      </w:tr>
      <w:tr>
        <w:tc>
          <w:tcPr>
            <w:tcW w:type="dxa" w:w="26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LDAP / LDAPS auth</w:t>
            </w:r>
          </w:p>
        </w:tc>
        <w:tc>
          <w:tcPr>
            <w:tcW w:type="dxa" w:w="1900"/>
            <w:shd w:fill="E3F3E6" w:val="clear"/>
            <w:tcMar>
              <w:top w:type="dxa" w:w="60"/>
              <w:left w:type="dxa" w:w="100"/>
              <w:bottom w:type="dxa" w:w="60"/>
              <w:right w:type="dxa" w:w="100"/>
            </w:tcMar>
            <w:vAlign w:val="center"/>
          </w:tcPr>
          <w:p>
            <w:r>
              <w:rPr>
                <w:rFonts w:ascii="Calibri" w:cs="Calibri" w:eastAsia="Calibri" w:hAnsi="Calibri"/>
                <w:b/>
                <w:bCs/>
                <w:color w:val="1E7A34"/>
                <w:sz w:val="19"/>
                <w:szCs w:val="19"/>
              </w:rPr>
              <w:t xml:space="preserve">Implemented</w:t>
            </w:r>
          </w:p>
        </w:tc>
        <w:tc>
          <w:tcPr>
            <w:tcW w:type="dxa" w:w="4850"/>
            <w:tcMar>
              <w:top w:type="dxa" w:w="80"/>
              <w:left w:type="dxa" w:w="100"/>
              <w:bottom w:type="dxa" w:w="80"/>
              <w:right w:type="dxa" w:w="100"/>
            </w:tcMar>
            <w:vAlign w:val="center"/>
          </w:tcPr>
          <w:p>
            <w:pPr>
              <w:spacing w:after="0"/>
            </w:pPr>
            <w:r>
              <w:rPr>
                <w:rFonts w:ascii="Calibri" w:cs="Calibri" w:eastAsia="Calibri" w:hAnsi="Calibri"/>
                <w:color w:val="1F2937"/>
                <w:sz w:val="19"/>
                <w:szCs w:val="19"/>
              </w:rPr>
              <w:t xml:space="preserve">Target state — verify after remediation.</w:t>
            </w:r>
          </w:p>
        </w:tc>
      </w:tr>
      <w:tr>
        <w:tc>
          <w:tcPr>
            <w:tcW w:type="dxa" w:w="26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Same-origin / allowlisted CORS</w:t>
            </w:r>
          </w:p>
        </w:tc>
        <w:tc>
          <w:tcPr>
            <w:tcW w:type="dxa" w:w="1900"/>
            <w:shd w:fill="E3F3E6" w:val="clear"/>
            <w:tcMar>
              <w:top w:type="dxa" w:w="60"/>
              <w:left w:type="dxa" w:w="100"/>
              <w:bottom w:type="dxa" w:w="60"/>
              <w:right w:type="dxa" w:w="100"/>
            </w:tcMar>
            <w:vAlign w:val="center"/>
          </w:tcPr>
          <w:p>
            <w:r>
              <w:rPr>
                <w:rFonts w:ascii="Calibri" w:cs="Calibri" w:eastAsia="Calibri" w:hAnsi="Calibri"/>
                <w:b/>
                <w:bCs/>
                <w:color w:val="1E7A34"/>
                <w:sz w:val="19"/>
                <w:szCs w:val="19"/>
              </w:rPr>
              <w:t xml:space="preserve">Implemented</w:t>
            </w:r>
          </w:p>
        </w:tc>
        <w:tc>
          <w:tcPr>
            <w:tcW w:type="dxa" w:w="4850"/>
            <w:tcMar>
              <w:top w:type="dxa" w:w="80"/>
              <w:left w:type="dxa" w:w="100"/>
              <w:bottom w:type="dxa" w:w="80"/>
              <w:right w:type="dxa" w:w="100"/>
            </w:tcMar>
            <w:vAlign w:val="center"/>
          </w:tcPr>
          <w:p>
            <w:pPr>
              <w:spacing w:after="0"/>
            </w:pPr>
            <w:r>
              <w:rPr>
                <w:rFonts w:ascii="Calibri" w:cs="Calibri" w:eastAsia="Calibri" w:hAnsi="Calibri"/>
                <w:color w:val="1F2937"/>
                <w:sz w:val="19"/>
                <w:szCs w:val="19"/>
              </w:rPr>
              <w:t xml:space="preserve">Target state — verify after remediation.</w:t>
            </w:r>
          </w:p>
        </w:tc>
      </w:tr>
      <w:tr>
        <w:tc>
          <w:tcPr>
            <w:tcW w:type="dxa" w:w="26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CSRF protection</w:t>
            </w:r>
          </w:p>
        </w:tc>
        <w:tc>
          <w:tcPr>
            <w:tcW w:type="dxa" w:w="1900"/>
            <w:shd w:fill="E3F3E6" w:val="clear"/>
            <w:tcMar>
              <w:top w:type="dxa" w:w="60"/>
              <w:left w:type="dxa" w:w="100"/>
              <w:bottom w:type="dxa" w:w="60"/>
              <w:right w:type="dxa" w:w="100"/>
            </w:tcMar>
            <w:vAlign w:val="center"/>
          </w:tcPr>
          <w:p>
            <w:r>
              <w:rPr>
                <w:rFonts w:ascii="Calibri" w:cs="Calibri" w:eastAsia="Calibri" w:hAnsi="Calibri"/>
                <w:b/>
                <w:bCs/>
                <w:color w:val="1E7A34"/>
                <w:sz w:val="19"/>
                <w:szCs w:val="19"/>
              </w:rPr>
              <w:t xml:space="preserve">Implemented</w:t>
            </w:r>
          </w:p>
        </w:tc>
        <w:tc>
          <w:tcPr>
            <w:tcW w:type="dxa" w:w="4850"/>
            <w:tcMar>
              <w:top w:type="dxa" w:w="80"/>
              <w:left w:type="dxa" w:w="100"/>
              <w:bottom w:type="dxa" w:w="80"/>
              <w:right w:type="dxa" w:w="100"/>
            </w:tcMar>
            <w:vAlign w:val="center"/>
          </w:tcPr>
          <w:p>
            <w:pPr>
              <w:spacing w:after="0"/>
            </w:pPr>
            <w:r>
              <w:rPr>
                <w:rFonts w:ascii="Calibri" w:cs="Calibri" w:eastAsia="Calibri" w:hAnsi="Calibri"/>
                <w:color w:val="1F2937"/>
                <w:sz w:val="19"/>
                <w:szCs w:val="19"/>
              </w:rPr>
              <w:t xml:space="preserve">Target state — verify after remediation.</w:t>
            </w:r>
          </w:p>
        </w:tc>
      </w:tr>
      <w:tr>
        <w:tc>
          <w:tcPr>
            <w:tcW w:type="dxa" w:w="26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Centrally revocable session</w:t>
            </w:r>
          </w:p>
        </w:tc>
        <w:tc>
          <w:tcPr>
            <w:tcW w:type="dxa" w:w="1900"/>
            <w:shd w:fill="E3F3E6" w:val="clear"/>
            <w:tcMar>
              <w:top w:type="dxa" w:w="60"/>
              <w:left w:type="dxa" w:w="100"/>
              <w:bottom w:type="dxa" w:w="60"/>
              <w:right w:type="dxa" w:w="100"/>
            </w:tcMar>
            <w:vAlign w:val="center"/>
          </w:tcPr>
          <w:p>
            <w:r>
              <w:rPr>
                <w:rFonts w:ascii="Calibri" w:cs="Calibri" w:eastAsia="Calibri" w:hAnsi="Calibri"/>
                <w:b/>
                <w:bCs/>
                <w:color w:val="1E7A34"/>
                <w:sz w:val="19"/>
                <w:szCs w:val="19"/>
              </w:rPr>
              <w:t xml:space="preserve">Implemented</w:t>
            </w:r>
          </w:p>
        </w:tc>
        <w:tc>
          <w:tcPr>
            <w:tcW w:type="dxa" w:w="4850"/>
            <w:tcMar>
              <w:top w:type="dxa" w:w="80"/>
              <w:left w:type="dxa" w:w="100"/>
              <w:bottom w:type="dxa" w:w="80"/>
              <w:right w:type="dxa" w:w="100"/>
            </w:tcMar>
            <w:vAlign w:val="center"/>
          </w:tcPr>
          <w:p>
            <w:pPr>
              <w:spacing w:after="0"/>
            </w:pPr>
            <w:r>
              <w:rPr>
                <w:rFonts w:ascii="Calibri" w:cs="Calibri" w:eastAsia="Calibri" w:hAnsi="Calibri"/>
                <w:color w:val="1F2937"/>
                <w:sz w:val="19"/>
                <w:szCs w:val="19"/>
              </w:rPr>
              <w:t xml:space="preserve">Target state — verify after remediation.</w:t>
            </w:r>
          </w:p>
        </w:tc>
      </w:tr>
      <w:tr>
        <w:tc>
          <w:tcPr>
            <w:tcW w:type="dxa" w:w="26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Secrets encrypted at rest, independent key</w:t>
            </w:r>
          </w:p>
        </w:tc>
        <w:tc>
          <w:tcPr>
            <w:tcW w:type="dxa" w:w="1900"/>
            <w:shd w:fill="E3F3E6" w:val="clear"/>
            <w:tcMar>
              <w:top w:type="dxa" w:w="60"/>
              <w:left w:type="dxa" w:w="100"/>
              <w:bottom w:type="dxa" w:w="60"/>
              <w:right w:type="dxa" w:w="100"/>
            </w:tcMar>
            <w:vAlign w:val="center"/>
          </w:tcPr>
          <w:p>
            <w:r>
              <w:rPr>
                <w:rFonts w:ascii="Calibri" w:cs="Calibri" w:eastAsia="Calibri" w:hAnsi="Calibri"/>
                <w:b/>
                <w:bCs/>
                <w:color w:val="1E7A34"/>
                <w:sz w:val="19"/>
                <w:szCs w:val="19"/>
              </w:rPr>
              <w:t xml:space="preserve">Implemented</w:t>
            </w:r>
          </w:p>
        </w:tc>
        <w:tc>
          <w:tcPr>
            <w:tcW w:type="dxa" w:w="4850"/>
            <w:tcMar>
              <w:top w:type="dxa" w:w="80"/>
              <w:left w:type="dxa" w:w="100"/>
              <w:bottom w:type="dxa" w:w="80"/>
              <w:right w:type="dxa" w:w="100"/>
            </w:tcMar>
            <w:vAlign w:val="center"/>
          </w:tcPr>
          <w:p>
            <w:pPr>
              <w:spacing w:after="0"/>
            </w:pPr>
            <w:r>
              <w:rPr>
                <w:rFonts w:ascii="Calibri" w:cs="Calibri" w:eastAsia="Calibri" w:hAnsi="Calibri"/>
                <w:color w:val="1F2937"/>
                <w:sz w:val="19"/>
                <w:szCs w:val="19"/>
              </w:rPr>
              <w:t xml:space="preserve">Target state — verify after remediation.</w:t>
            </w:r>
          </w:p>
        </w:tc>
      </w:tr>
      <w:tr>
        <w:tc>
          <w:tcPr>
            <w:tcW w:type="dxa" w:w="26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Database-level audit log protection</w:t>
            </w:r>
          </w:p>
        </w:tc>
        <w:tc>
          <w:tcPr>
            <w:tcW w:type="dxa" w:w="1900"/>
            <w:shd w:fill="E3F3E6" w:val="clear"/>
            <w:tcMar>
              <w:top w:type="dxa" w:w="60"/>
              <w:left w:type="dxa" w:w="100"/>
              <w:bottom w:type="dxa" w:w="60"/>
              <w:right w:type="dxa" w:w="100"/>
            </w:tcMar>
            <w:vAlign w:val="center"/>
          </w:tcPr>
          <w:p>
            <w:r>
              <w:rPr>
                <w:rFonts w:ascii="Calibri" w:cs="Calibri" w:eastAsia="Calibri" w:hAnsi="Calibri"/>
                <w:b/>
                <w:bCs/>
                <w:color w:val="1E7A34"/>
                <w:sz w:val="19"/>
                <w:szCs w:val="19"/>
              </w:rPr>
              <w:t xml:space="preserve">Implemented</w:t>
            </w:r>
          </w:p>
        </w:tc>
        <w:tc>
          <w:tcPr>
            <w:tcW w:type="dxa" w:w="4850"/>
            <w:tcMar>
              <w:top w:type="dxa" w:w="80"/>
              <w:left w:type="dxa" w:w="100"/>
              <w:bottom w:type="dxa" w:w="80"/>
              <w:right w:type="dxa" w:w="100"/>
            </w:tcMar>
            <w:vAlign w:val="center"/>
          </w:tcPr>
          <w:p>
            <w:pPr>
              <w:spacing w:after="0"/>
            </w:pPr>
            <w:r>
              <w:rPr>
                <w:rFonts w:ascii="Calibri" w:cs="Calibri" w:eastAsia="Calibri" w:hAnsi="Calibri"/>
                <w:color w:val="1F2937"/>
                <w:sz w:val="19"/>
                <w:szCs w:val="19"/>
              </w:rPr>
              <w:t xml:space="preserve">Target state — verify after remediation.</w:t>
            </w:r>
          </w:p>
        </w:tc>
      </w:tr>
      <w:tr>
        <w:tc>
          <w:tcPr>
            <w:tcW w:type="dxa" w:w="26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Audit coverage of sensitive mutations</w:t>
            </w:r>
          </w:p>
        </w:tc>
        <w:tc>
          <w:tcPr>
            <w:tcW w:type="dxa" w:w="1900"/>
            <w:shd w:fill="E3F3E6" w:val="clear"/>
            <w:tcMar>
              <w:top w:type="dxa" w:w="60"/>
              <w:left w:type="dxa" w:w="100"/>
              <w:bottom w:type="dxa" w:w="60"/>
              <w:right w:type="dxa" w:w="100"/>
            </w:tcMar>
            <w:vAlign w:val="center"/>
          </w:tcPr>
          <w:p>
            <w:r>
              <w:rPr>
                <w:rFonts w:ascii="Calibri" w:cs="Calibri" w:eastAsia="Calibri" w:hAnsi="Calibri"/>
                <w:b/>
                <w:bCs/>
                <w:color w:val="1E7A34"/>
                <w:sz w:val="19"/>
                <w:szCs w:val="19"/>
              </w:rPr>
              <w:t xml:space="preserve">Implemented</w:t>
            </w:r>
          </w:p>
        </w:tc>
        <w:tc>
          <w:tcPr>
            <w:tcW w:type="dxa" w:w="4850"/>
            <w:tcMar>
              <w:top w:type="dxa" w:w="80"/>
              <w:left w:type="dxa" w:w="100"/>
              <w:bottom w:type="dxa" w:w="80"/>
              <w:right w:type="dxa" w:w="100"/>
            </w:tcMar>
            <w:vAlign w:val="center"/>
          </w:tcPr>
          <w:p>
            <w:pPr>
              <w:spacing w:after="0"/>
            </w:pPr>
            <w:r>
              <w:rPr>
                <w:rFonts w:ascii="Calibri" w:cs="Calibri" w:eastAsia="Calibri" w:hAnsi="Calibri"/>
                <w:color w:val="1F2937"/>
                <w:sz w:val="19"/>
                <w:szCs w:val="19"/>
              </w:rPr>
              <w:t xml:space="preserve">Target state — verify after remediation.</w:t>
            </w:r>
          </w:p>
        </w:tc>
      </w:tr>
      <w:tr>
        <w:tc>
          <w:tcPr>
            <w:tcW w:type="dxa" w:w="26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In-app backup &amp; restore</w:t>
            </w:r>
          </w:p>
        </w:tc>
        <w:tc>
          <w:tcPr>
            <w:tcW w:type="dxa" w:w="1900"/>
            <w:shd w:fill="E3F3E6" w:val="clear"/>
            <w:tcMar>
              <w:top w:type="dxa" w:w="60"/>
              <w:left w:type="dxa" w:w="100"/>
              <w:bottom w:type="dxa" w:w="60"/>
              <w:right w:type="dxa" w:w="100"/>
            </w:tcMar>
            <w:vAlign w:val="center"/>
          </w:tcPr>
          <w:p>
            <w:r>
              <w:rPr>
                <w:rFonts w:ascii="Calibri" w:cs="Calibri" w:eastAsia="Calibri" w:hAnsi="Calibri"/>
                <w:b/>
                <w:bCs/>
                <w:color w:val="1E7A34"/>
                <w:sz w:val="19"/>
                <w:szCs w:val="19"/>
              </w:rPr>
              <w:t xml:space="preserve">Implemented</w:t>
            </w:r>
          </w:p>
        </w:tc>
        <w:tc>
          <w:tcPr>
            <w:tcW w:type="dxa" w:w="4850"/>
            <w:tcMar>
              <w:top w:type="dxa" w:w="80"/>
              <w:left w:type="dxa" w:w="100"/>
              <w:bottom w:type="dxa" w:w="80"/>
              <w:right w:type="dxa" w:w="100"/>
            </w:tcMar>
            <w:vAlign w:val="center"/>
          </w:tcPr>
          <w:p>
            <w:pPr>
              <w:spacing w:after="0"/>
            </w:pPr>
            <w:r>
              <w:rPr>
                <w:rFonts w:ascii="Calibri" w:cs="Calibri" w:eastAsia="Calibri" w:hAnsi="Calibri"/>
                <w:color w:val="1F2937"/>
                <w:sz w:val="19"/>
                <w:szCs w:val="19"/>
              </w:rPr>
              <w:t xml:space="preserve">Target state — verify after remediation.</w:t>
            </w:r>
          </w:p>
        </w:tc>
      </w:tr>
      <w:tr>
        <w:tc>
          <w:tcPr>
            <w:tcW w:type="dxa" w:w="26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Backup/restore schema-drift test</w:t>
            </w:r>
          </w:p>
        </w:tc>
        <w:tc>
          <w:tcPr>
            <w:tcW w:type="dxa" w:w="1900"/>
            <w:shd w:fill="E3F3E6" w:val="clear"/>
            <w:tcMar>
              <w:top w:type="dxa" w:w="60"/>
              <w:left w:type="dxa" w:w="100"/>
              <w:bottom w:type="dxa" w:w="60"/>
              <w:right w:type="dxa" w:w="100"/>
            </w:tcMar>
            <w:vAlign w:val="center"/>
          </w:tcPr>
          <w:p>
            <w:r>
              <w:rPr>
                <w:rFonts w:ascii="Calibri" w:cs="Calibri" w:eastAsia="Calibri" w:hAnsi="Calibri"/>
                <w:b/>
                <w:bCs/>
                <w:color w:val="1E7A34"/>
                <w:sz w:val="19"/>
                <w:szCs w:val="19"/>
              </w:rPr>
              <w:t xml:space="preserve">Implemented</w:t>
            </w:r>
          </w:p>
        </w:tc>
        <w:tc>
          <w:tcPr>
            <w:tcW w:type="dxa" w:w="4850"/>
            <w:tcMar>
              <w:top w:type="dxa" w:w="80"/>
              <w:left w:type="dxa" w:w="100"/>
              <w:bottom w:type="dxa" w:w="80"/>
              <w:right w:type="dxa" w:w="100"/>
            </w:tcMar>
            <w:vAlign w:val="center"/>
          </w:tcPr>
          <w:p>
            <w:pPr>
              <w:spacing w:after="0"/>
            </w:pPr>
            <w:r>
              <w:rPr>
                <w:rFonts w:ascii="Calibri" w:cs="Calibri" w:eastAsia="Calibri" w:hAnsi="Calibri"/>
                <w:color w:val="1F2937"/>
                <w:sz w:val="19"/>
                <w:szCs w:val="19"/>
              </w:rPr>
              <w:t xml:space="preserve">Target state — verify after remediation.</w:t>
            </w:r>
          </w:p>
        </w:tc>
      </w:tr>
      <w:tr>
        <w:tc>
          <w:tcPr>
            <w:tcW w:type="dxa" w:w="26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Rate limiting / brute-force protection</w:t>
            </w:r>
          </w:p>
        </w:tc>
        <w:tc>
          <w:tcPr>
            <w:tcW w:type="dxa" w:w="1900"/>
            <w:shd w:fill="E3F3E6" w:val="clear"/>
            <w:tcMar>
              <w:top w:type="dxa" w:w="60"/>
              <w:left w:type="dxa" w:w="100"/>
              <w:bottom w:type="dxa" w:w="60"/>
              <w:right w:type="dxa" w:w="100"/>
            </w:tcMar>
            <w:vAlign w:val="center"/>
          </w:tcPr>
          <w:p>
            <w:r>
              <w:rPr>
                <w:rFonts w:ascii="Calibri" w:cs="Calibri" w:eastAsia="Calibri" w:hAnsi="Calibri"/>
                <w:b/>
                <w:bCs/>
                <w:color w:val="1E7A34"/>
                <w:sz w:val="19"/>
                <w:szCs w:val="19"/>
              </w:rPr>
              <w:t xml:space="preserve">Implemented</w:t>
            </w:r>
          </w:p>
        </w:tc>
        <w:tc>
          <w:tcPr>
            <w:tcW w:type="dxa" w:w="4850"/>
            <w:tcMar>
              <w:top w:type="dxa" w:w="80"/>
              <w:left w:type="dxa" w:w="100"/>
              <w:bottom w:type="dxa" w:w="80"/>
              <w:right w:type="dxa" w:w="100"/>
            </w:tcMar>
            <w:vAlign w:val="center"/>
          </w:tcPr>
          <w:p>
            <w:pPr>
              <w:spacing w:after="0"/>
            </w:pPr>
            <w:r>
              <w:rPr>
                <w:rFonts w:ascii="Calibri" w:cs="Calibri" w:eastAsia="Calibri" w:hAnsi="Calibri"/>
                <w:color w:val="1F2937"/>
                <w:sz w:val="19"/>
                <w:szCs w:val="19"/>
              </w:rPr>
              <w:t xml:space="preserve">Target state — verify after remediation.</w:t>
            </w:r>
          </w:p>
        </w:tc>
      </w:tr>
      <w:tr>
        <w:tc>
          <w:tcPr>
            <w:tcW w:type="dxa" w:w="26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Kubernetes / ArgoCD out of scope</w:t>
            </w:r>
          </w:p>
        </w:tc>
        <w:tc>
          <w:tcPr>
            <w:tcW w:type="dxa" w:w="1900"/>
            <w:shd w:fill="E3F3E6" w:val="clear"/>
            <w:tcMar>
              <w:top w:type="dxa" w:w="60"/>
              <w:left w:type="dxa" w:w="100"/>
              <w:bottom w:type="dxa" w:w="60"/>
              <w:right w:type="dxa" w:w="100"/>
            </w:tcMar>
            <w:vAlign w:val="center"/>
          </w:tcPr>
          <w:p>
            <w:r>
              <w:rPr>
                <w:rFonts w:ascii="Calibri" w:cs="Calibri" w:eastAsia="Calibri" w:hAnsi="Calibri"/>
                <w:b/>
                <w:bCs/>
                <w:color w:val="1E7A34"/>
                <w:sz w:val="19"/>
                <w:szCs w:val="19"/>
              </w:rPr>
              <w:t xml:space="preserve">Implemented</w:t>
            </w:r>
          </w:p>
        </w:tc>
        <w:tc>
          <w:tcPr>
            <w:tcW w:type="dxa" w:w="4850"/>
            <w:tcMar>
              <w:top w:type="dxa" w:w="80"/>
              <w:left w:type="dxa" w:w="100"/>
              <w:bottom w:type="dxa" w:w="80"/>
              <w:right w:type="dxa" w:w="100"/>
            </w:tcMar>
            <w:vAlign w:val="center"/>
          </w:tcPr>
          <w:p>
            <w:pPr>
              <w:spacing w:after="0"/>
            </w:pPr>
            <w:r>
              <w:rPr>
                <w:rFonts w:ascii="Calibri" w:cs="Calibri" w:eastAsia="Calibri" w:hAnsi="Calibri"/>
                <w:color w:val="1F2937"/>
                <w:sz w:val="19"/>
                <w:szCs w:val="19"/>
              </w:rPr>
              <w:t xml:space="preserve">Target state — verify after remediation.</w:t>
            </w:r>
          </w:p>
        </w:tc>
      </w:tr>
      <w:tr>
        <w:tc>
          <w:tcPr>
            <w:tcW w:type="dxa" w:w="26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Production database is externally managed</w:t>
            </w:r>
          </w:p>
        </w:tc>
        <w:tc>
          <w:tcPr>
            <w:tcW w:type="dxa" w:w="1900"/>
            <w:shd w:fill="E3F3E6" w:val="clear"/>
            <w:tcMar>
              <w:top w:type="dxa" w:w="60"/>
              <w:left w:type="dxa" w:w="100"/>
              <w:bottom w:type="dxa" w:w="60"/>
              <w:right w:type="dxa" w:w="100"/>
            </w:tcMar>
            <w:vAlign w:val="center"/>
          </w:tcPr>
          <w:p>
            <w:r>
              <w:rPr>
                <w:rFonts w:ascii="Calibri" w:cs="Calibri" w:eastAsia="Calibri" w:hAnsi="Calibri"/>
                <w:b/>
                <w:bCs/>
                <w:color w:val="1E7A34"/>
                <w:sz w:val="19"/>
                <w:szCs w:val="19"/>
              </w:rPr>
              <w:t xml:space="preserve">Implemented</w:t>
            </w:r>
          </w:p>
        </w:tc>
        <w:tc>
          <w:tcPr>
            <w:tcW w:type="dxa" w:w="4850"/>
            <w:tcMar>
              <w:top w:type="dxa" w:w="80"/>
              <w:left w:type="dxa" w:w="100"/>
              <w:bottom w:type="dxa" w:w="80"/>
              <w:right w:type="dxa" w:w="100"/>
            </w:tcMar>
            <w:vAlign w:val="center"/>
          </w:tcPr>
          <w:p>
            <w:pPr>
              <w:spacing w:after="0"/>
            </w:pPr>
            <w:r>
              <w:rPr>
                <w:rFonts w:ascii="Calibri" w:cs="Calibri" w:eastAsia="Calibri" w:hAnsi="Calibri"/>
                <w:color w:val="1F2937"/>
                <w:sz w:val="19"/>
                <w:szCs w:val="19"/>
              </w:rPr>
              <w:t xml:space="preserve">Target state — verify after remediation.</w:t>
            </w:r>
          </w:p>
        </w:tc>
      </w:tr>
      <w:tr>
        <w:tc>
          <w:tcPr>
            <w:tcW w:type="dxa" w:w="26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Container images built by GitHub Actions</w:t>
            </w:r>
          </w:p>
        </w:tc>
        <w:tc>
          <w:tcPr>
            <w:tcW w:type="dxa" w:w="1900"/>
            <w:shd w:fill="E3F3E6" w:val="clear"/>
            <w:tcMar>
              <w:top w:type="dxa" w:w="60"/>
              <w:left w:type="dxa" w:w="100"/>
              <w:bottom w:type="dxa" w:w="60"/>
              <w:right w:type="dxa" w:w="100"/>
            </w:tcMar>
            <w:vAlign w:val="center"/>
          </w:tcPr>
          <w:p>
            <w:r>
              <w:rPr>
                <w:rFonts w:ascii="Calibri" w:cs="Calibri" w:eastAsia="Calibri" w:hAnsi="Calibri"/>
                <w:b/>
                <w:bCs/>
                <w:color w:val="1E7A34"/>
                <w:sz w:val="19"/>
                <w:szCs w:val="19"/>
              </w:rPr>
              <w:t xml:space="preserve">Implemented</w:t>
            </w:r>
          </w:p>
        </w:tc>
        <w:tc>
          <w:tcPr>
            <w:tcW w:type="dxa" w:w="4850"/>
            <w:tcMar>
              <w:top w:type="dxa" w:w="80"/>
              <w:left w:type="dxa" w:w="100"/>
              <w:bottom w:type="dxa" w:w="80"/>
              <w:right w:type="dxa" w:w="100"/>
            </w:tcMar>
            <w:vAlign w:val="center"/>
          </w:tcPr>
          <w:p>
            <w:pPr>
              <w:spacing w:after="0"/>
            </w:pPr>
            <w:r>
              <w:rPr>
                <w:rFonts w:ascii="Calibri" w:cs="Calibri" w:eastAsia="Calibri" w:hAnsi="Calibri"/>
                <w:color w:val="1F2937"/>
                <w:sz w:val="19"/>
                <w:szCs w:val="19"/>
              </w:rPr>
              <w:t xml:space="preserve">Target state — verify after remediation.</w:t>
            </w:r>
          </w:p>
        </w:tc>
      </w:tr>
      <w:tr>
        <w:tc>
          <w:tcPr>
            <w:tcW w:type="dxa" w:w="26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Non-root containers</w:t>
            </w:r>
          </w:p>
        </w:tc>
        <w:tc>
          <w:tcPr>
            <w:tcW w:type="dxa" w:w="1900"/>
            <w:shd w:fill="E3F3E6" w:val="clear"/>
            <w:tcMar>
              <w:top w:type="dxa" w:w="60"/>
              <w:left w:type="dxa" w:w="100"/>
              <w:bottom w:type="dxa" w:w="60"/>
              <w:right w:type="dxa" w:w="100"/>
            </w:tcMar>
            <w:vAlign w:val="center"/>
          </w:tcPr>
          <w:p>
            <w:r>
              <w:rPr>
                <w:rFonts w:ascii="Calibri" w:cs="Calibri" w:eastAsia="Calibri" w:hAnsi="Calibri"/>
                <w:b/>
                <w:bCs/>
                <w:color w:val="1E7A34"/>
                <w:sz w:val="19"/>
                <w:szCs w:val="19"/>
              </w:rPr>
              <w:t xml:space="preserve">Implemented</w:t>
            </w:r>
          </w:p>
        </w:tc>
        <w:tc>
          <w:tcPr>
            <w:tcW w:type="dxa" w:w="4850"/>
            <w:tcMar>
              <w:top w:type="dxa" w:w="80"/>
              <w:left w:type="dxa" w:w="100"/>
              <w:bottom w:type="dxa" w:w="80"/>
              <w:right w:type="dxa" w:w="100"/>
            </w:tcMar>
            <w:vAlign w:val="center"/>
          </w:tcPr>
          <w:p>
            <w:pPr>
              <w:spacing w:after="0"/>
            </w:pPr>
            <w:r>
              <w:rPr>
                <w:rFonts w:ascii="Calibri" w:cs="Calibri" w:eastAsia="Calibri" w:hAnsi="Calibri"/>
                <w:color w:val="1F2937"/>
                <w:sz w:val="19"/>
                <w:szCs w:val="19"/>
              </w:rPr>
              <w:t xml:space="preserve">Target state — verify after remediation.</w:t>
            </w:r>
          </w:p>
        </w:tc>
      </w:tr>
      <w:tr>
        <w:tc>
          <w:tcPr>
            <w:tcW w:type="dxa" w:w="26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README documents every implemented control</w:t>
            </w:r>
          </w:p>
        </w:tc>
        <w:tc>
          <w:tcPr>
            <w:tcW w:type="dxa" w:w="1900"/>
            <w:shd w:fill="E3F3E6" w:val="clear"/>
            <w:tcMar>
              <w:top w:type="dxa" w:w="60"/>
              <w:left w:type="dxa" w:w="100"/>
              <w:bottom w:type="dxa" w:w="60"/>
              <w:right w:type="dxa" w:w="100"/>
            </w:tcMar>
            <w:vAlign w:val="center"/>
          </w:tcPr>
          <w:p>
            <w:r>
              <w:rPr>
                <w:rFonts w:ascii="Calibri" w:cs="Calibri" w:eastAsia="Calibri" w:hAnsi="Calibri"/>
                <w:b/>
                <w:bCs/>
                <w:color w:val="1E7A34"/>
                <w:sz w:val="19"/>
                <w:szCs w:val="19"/>
              </w:rPr>
              <w:t xml:space="preserve">Implemented</w:t>
            </w:r>
          </w:p>
        </w:tc>
        <w:tc>
          <w:tcPr>
            <w:tcW w:type="dxa" w:w="4850"/>
            <w:tcMar>
              <w:top w:type="dxa" w:w="80"/>
              <w:left w:type="dxa" w:w="100"/>
              <w:bottom w:type="dxa" w:w="80"/>
              <w:right w:type="dxa" w:w="100"/>
            </w:tcMar>
            <w:vAlign w:val="center"/>
          </w:tcPr>
          <w:p>
            <w:pPr>
              <w:spacing w:after="0"/>
            </w:pPr>
            <w:r>
              <w:rPr>
                <w:rFonts w:ascii="Calibri" w:cs="Calibri" w:eastAsia="Calibri" w:hAnsi="Calibri"/>
                <w:color w:val="1F2937"/>
                <w:sz w:val="19"/>
                <w:szCs w:val="19"/>
              </w:rPr>
              <w:t xml:space="preserve">Target state — verify after remediation.</w:t>
            </w:r>
          </w:p>
        </w:tc>
      </w:tr>
      <w:tr>
        <w:tc>
          <w:tcPr>
            <w:tcW w:type="dxa" w:w="26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Automated tests</w:t>
            </w:r>
          </w:p>
        </w:tc>
        <w:tc>
          <w:tcPr>
            <w:tcW w:type="dxa" w:w="1900"/>
            <w:shd w:fill="E3F3E6" w:val="clear"/>
            <w:tcMar>
              <w:top w:type="dxa" w:w="60"/>
              <w:left w:type="dxa" w:w="100"/>
              <w:bottom w:type="dxa" w:w="60"/>
              <w:right w:type="dxa" w:w="100"/>
            </w:tcMar>
            <w:vAlign w:val="center"/>
          </w:tcPr>
          <w:p>
            <w:r>
              <w:rPr>
                <w:rFonts w:ascii="Calibri" w:cs="Calibri" w:eastAsia="Calibri" w:hAnsi="Calibri"/>
                <w:b/>
                <w:bCs/>
                <w:color w:val="1E7A34"/>
                <w:sz w:val="19"/>
                <w:szCs w:val="19"/>
              </w:rPr>
              <w:t xml:space="preserve">Implemented</w:t>
            </w:r>
          </w:p>
        </w:tc>
        <w:tc>
          <w:tcPr>
            <w:tcW w:type="dxa" w:w="4850"/>
            <w:tcMar>
              <w:top w:type="dxa" w:w="80"/>
              <w:left w:type="dxa" w:w="100"/>
              <w:bottom w:type="dxa" w:w="80"/>
              <w:right w:type="dxa" w:w="100"/>
            </w:tcMar>
            <w:vAlign w:val="center"/>
          </w:tcPr>
          <w:p>
            <w:pPr>
              <w:spacing w:after="0"/>
            </w:pPr>
            <w:r>
              <w:rPr>
                <w:rFonts w:ascii="Calibri" w:cs="Calibri" w:eastAsia="Calibri" w:hAnsi="Calibri"/>
                <w:color w:val="1F2937"/>
                <w:sz w:val="19"/>
                <w:szCs w:val="19"/>
              </w:rPr>
              <w:t xml:space="preserve">Target state — verify after remediation.</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3F6C2E" w:sz="12"/>
              <w:left w:val="single" w:color="3F6C2E" w:sz="24"/>
              <w:bottom w:val="single" w:color="EEF3E6" w:sz="4"/>
              <w:right w:val="single" w:color="EEF3E6" w:sz="4"/>
            </w:tcBorders>
            <w:shd w:fill="EEF3E6" w:val="clear"/>
            <w:tcMar>
              <w:top w:type="dxa" w:w="160"/>
              <w:left w:type="dxa" w:w="200"/>
              <w:bottom w:type="dxa" w:w="160"/>
              <w:right w:type="dxa" w:w="200"/>
            </w:tcMar>
          </w:tcPr>
          <w:p>
            <w:pPr>
              <w:spacing w:after="100"/>
            </w:pPr>
            <w:r>
              <w:rPr>
                <w:rFonts w:ascii="Calibri" w:cs="Calibri" w:eastAsia="Calibri" w:hAnsi="Calibri"/>
                <w:b/>
                <w:bCs/>
                <w:color w:val="3F6C2E"/>
                <w:sz w:val="22"/>
                <w:szCs w:val="22"/>
              </w:rPr>
              <w:t xml:space="preserve">Next step</w:t>
            </w:r>
          </w:p>
          <w:p>
            <w:pPr>
              <w:spacing w:after="40"/>
            </w:pPr>
            <w:r>
              <w:rPr>
                <w:rFonts w:ascii="Calibri" w:cs="Calibri" w:eastAsia="Calibri" w:hAnsi="Calibri"/>
                <w:color w:val="1F2937"/>
                <w:sz w:val="20"/>
                <w:szCs w:val="20"/>
              </w:rPr>
              <w:t xml:space="preserve">• Once this checklist is fully green, ask for a re-analysis of all three applications against the shared baseline to confirm portfolio-wide compliance.</w:t>
            </w:r>
          </w:p>
        </w:tc>
      </w:tr>
    </w:tbl>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jc w:val="right"/>
    </w:pPr>
    <w:r>
      <w:rPr>
        <w:rFonts w:ascii="Calibri" w:cs="Calibri" w:eastAsia="Calibri" w:hAnsi="Calibri"/>
        <w:color w:val="6B7280"/>
        <w:sz w:val="16"/>
        <w:szCs w:val="16"/>
      </w:rPr>
      <w:t xml:space="preserve">CHdN — QueueCraft Security Baseline Remediation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3a4ebae458d21d3ee08b54874ea954ff75b6c1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2026-09-23T08:39:18.849Z</dcterms:created>
  <dcterms:modified xsi:type="dcterms:W3CDTF">2026-09-23T08:39:18.859Z</dcterms:modified>
</cp:coreProperties>
</file>

<file path=docProps/custom.xml><?xml version="1.0" encoding="utf-8"?>
<Properties xmlns="http://schemas.openxmlformats.org/officeDocument/2006/custom-properties" xmlns:vt="http://schemas.openxmlformats.org/officeDocument/2006/docPropsVTypes"/>
</file>