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none"/>
          <w:insideV w:val="none"/>
        </w:tblBorders>
      </w:tblPr>
      <w:tblGrid>
        <w:gridCol w:w="10080"/>
      </w:tblGrid>
      <w:tr>
        <w:tc>
          <w:tcPr>
            <w:tcW w:type="dxa" w:w="10080"/>
            <w:shd w:fill="0B2545" w:color="auto" w:val="clear"/>
            <w:tcMar>
              <w:top w:type="dxa" w:w="240"/>
              <w:left w:type="dxa" w:w="300"/>
              <w:bottom w:type="dxa" w:w="240"/>
              <w:right w:type="dxa" w:w="300"/>
            </w:tcMar>
          </w:tcPr>
          <w:p>
            <w:r>
              <w:rPr>
                <w:rFonts w:ascii="Calibri" w:cs="Calibri" w:eastAsia="Calibri" w:hAnsi="Calibri"/>
                <w:b/>
                <w:bCs/>
                <w:color w:val="FFFFFF"/>
                <w:spacing w:val="40"/>
                <w:sz w:val="30"/>
                <w:szCs w:val="30"/>
              </w:rPr>
              <w:t xml:space="preserve">ELITE PREP</w:t>
            </w:r>
          </w:p>
          <w:p>
            <w:pPr>
              <w:pBdr>
                <w:top w:val="single" w:color="C9A227" w:sz="8" w:space="6"/>
              </w:pBdr>
              <w:spacing w:before="40"/>
            </w:pPr>
            <w:r>
              <w:rPr>
                <w:rFonts w:ascii="Calibri" w:cs="Calibri" w:eastAsia="Calibri" w:hAnsi="Calibri"/>
                <w:b/>
                <w:bCs/>
                <w:color w:val="DCE6F5"/>
                <w:sz w:val="22"/>
                <w:szCs w:val="22"/>
              </w:rPr>
              <w:t xml:space="preserve">SAT Analysis Report &amp; Improvement Plan</w:t>
            </w:r>
          </w:p>
        </w:tc>
      </w:tr>
    </w:tbl>
    <w:p>
      <w:pPr>
        <w:spacing w:after="160"/>
      </w:pPr>
    </w:p>
    <w:tbl>
      <w:tblPr>
        <w:tblW w:type="dxa" w:w="10080"/>
        <w:tblBorders>
          <w:top w:val="none"/>
          <w:left w:val="none"/>
          <w:bottom w:val="single" w:color="C9A227" w:sz="8"/>
          <w:right w:val="none"/>
          <w:insideH w:val="none"/>
          <w:insideV w:val="none"/>
        </w:tblBorders>
      </w:tblPr>
      <w:tblGrid>
        <w:gridCol w:w="5040"/>
        <w:gridCol w:w="5040"/>
      </w:tblGrid>
      <w:tr>
        <w:tc>
          <w:tcPr>
            <w:tcW w:type="dxa" w:w="5040"/>
            <w:tcMar>
              <w:bottom w:type="dxa" w:w="80"/>
            </w:tcMar>
          </w:tcPr>
          <w:p>
            <w:r>
              <w:rPr>
                <w:rFonts w:ascii="Calibri" w:cs="Calibri" w:eastAsia="Calibri" w:hAnsi="Calibri"/>
                <w:b/>
                <w:bCs/>
                <w:color w:val="5B6772"/>
                <w:spacing w:val="10"/>
                <w:sz w:val="15"/>
                <w:szCs w:val="15"/>
              </w:rPr>
              <w:t xml:space="preserve">STUDENT  </w:t>
            </w:r>
            <w:r>
              <w:rPr>
                <w:rFonts w:ascii="Calibri" w:cs="Calibri" w:eastAsia="Calibri" w:hAnsi="Calibri"/>
                <w:b/>
                <w:bCs/>
                <w:color w:val="0B2545"/>
                <w:sz w:val="22"/>
                <w:szCs w:val="22"/>
              </w:rPr>
              <w:t xml:space="preserve">Sumin Yoon</w:t>
            </w:r>
          </w:p>
        </w:tc>
        <w:tc>
          <w:tcPr>
            <w:tcW w:type="dxa" w:w="5040"/>
            <w:tcMar>
              <w:bottom w:type="dxa" w:w="80"/>
            </w:tcMar>
          </w:tcPr>
          <w:p>
            <w:pPr>
              <w:jc w:val="right"/>
            </w:pPr>
            <w:r>
              <w:rPr>
                <w:rFonts w:ascii="Calibri" w:cs="Calibri" w:eastAsia="Calibri" w:hAnsi="Calibri"/>
                <w:color w:val="5B6772"/>
                <w:sz w:val="18"/>
                <w:szCs w:val="18"/>
              </w:rPr>
              <w:t xml:space="preserve">6 Diagnostic Tests  ·  DSAT-01-B → DSAT-06-A</w:t>
            </w:r>
          </w:p>
        </w:tc>
      </w:tr>
    </w:tbl>
    <w:p>
      <w:pPr>
        <w:spacing w:after="180"/>
      </w:pPr>
    </w:p>
    <w:p>
      <w:pPr>
        <w:spacing w:after="60"/>
      </w:pPr>
      <w:r>
        <w:rPr>
          <w:rFonts w:ascii="Calibri" w:cs="Calibri" w:eastAsia="Calibri" w:hAnsi="Calibri"/>
          <w:b/>
          <w:bCs/>
          <w:color w:val="0B2545"/>
          <w:sz w:val="22"/>
          <w:szCs w:val="22"/>
        </w:rPr>
        <w:t xml:space="preserve">Score Trajectory Overview</w:t>
      </w:r>
    </w:p>
    <w:p>
      <w:pPr>
        <w:spacing w:after="60"/>
        <w:jc w:val="center"/>
      </w:pPr>
      <w:r>
        <w:drawing>
          <wp:inline distT="0" distB="0" distL="0" distR="0">
            <wp:extent cx="63055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05550" cy="2952750"/>
                    </a:xfrm>
                    <a:prstGeom prst="rect">
                      <a:avLst/>
                    </a:prstGeom>
                  </pic:spPr>
                </pic:pic>
              </a:graphicData>
            </a:graphic>
          </wp:inline>
        </w:drawing>
      </w:r>
    </w:p>
    <w:p>
      <w:pPr>
        <w:spacing w:after="60"/>
        <w:jc w:val="center"/>
      </w:pPr>
      <w:r>
        <w:rPr>
          <w:rFonts w:ascii="Calibri" w:cs="Calibri" w:eastAsia="Calibri" w:hAnsi="Calibri"/>
          <w:i/>
          <w:iCs/>
          <w:color w:val="5B6772"/>
          <w:sz w:val="16"/>
          <w:szCs w:val="16"/>
        </w:rPr>
        <w:t xml:space="preserve">Total score rises and falls across the six diagnostics, peaking at 960 on DSAT-05-A; Math and Reading &amp; Writing shown for context.</w:t>
      </w:r>
    </w:p>
    <w:p>
      <w:pPr>
        <w:spacing w:after="80"/>
      </w:pPr>
    </w:p>
    <w:p>
      <w:pPr>
        <w:spacing w:after="40" w:line="264"/>
        <w:jc w:val="both"/>
      </w:pPr>
      <w:r>
        <w:rPr>
          <w:rFonts w:ascii="Calibri" w:cs="Calibri" w:eastAsia="Calibri" w:hAnsi="Calibri"/>
          <w:color w:val="22303F"/>
          <w:sz w:val="20"/>
          <w:szCs w:val="20"/>
        </w:rPr>
        <w:t xml:space="preserve">Based on the diagnostic test results provided for Sumin Yoon across 6 practice tests (DSAT-01-B, DSAT-02-A, DSAT-03-A, DSAT-04-A, DSAT-05-A, DSAT-06-A), this report presents a detailed analysis of the student's performance, key weaknesses, and a targeted study plan.</w:t>
      </w:r>
    </w:p>
    <w:p>
      <w:r>
        <w:br w:type="page"/>
      </w:r>
    </w:p>
    <w:p>
      <w:pPr>
        <w:pBdr>
          <w:bottom w:val="single" w:color="C9A227" w:sz="14" w:space="6"/>
        </w:pBdr>
        <w:spacing w:after="140" w:before="320"/>
      </w:pPr>
      <w:r>
        <w:rPr>
          <w:rFonts w:ascii="Calibri" w:cs="Calibri" w:eastAsia="Calibri" w:hAnsi="Calibri"/>
          <w:b/>
          <w:bCs/>
          <w:color w:val="0B2545"/>
          <w:sz w:val="26"/>
          <w:szCs w:val="26"/>
        </w:rPr>
        <w:t xml:space="preserve">Diagnostic Report Overview</w:t>
      </w:r>
    </w:p>
    <w:tbl>
      <w:tblPr>
        <w:tblW w:type="dxa" w:w="9600"/>
        <w:tblBorders>
          <w:top w:val="none"/>
          <w:left w:val="none"/>
          <w:bottom w:val="none"/>
          <w:right w:val="none"/>
          <w:insideH w:val="single" w:color="FFFFFF" w:sz="24"/>
          <w:insideV w:val="single" w:color="FFFFFF" w:sz="24"/>
        </w:tblBorders>
      </w:tblPr>
      <w:tblGrid>
        <w:gridCol w:w="3200"/>
        <w:gridCol w:w="3200"/>
        <w:gridCol w:w="3200"/>
      </w:tblGrid>
      <w:tr>
        <w:tc>
          <w:tcPr>
            <w:tcW w:type="dxa" w:w="3120"/>
            <w:tcBorders>
              <w:top w:val="single" w:color="EEF2F7" w:sz="2"/>
              <w:left w:val="single" w:color="2E6BB8" w:sz="24"/>
              <w:bottom w:val="single" w:color="EEF2F7" w:sz="2"/>
              <w:right w:val="single" w:color="EEF2F7" w:sz="2"/>
            </w:tcBorders>
            <w:shd w:fill="EEF2F7" w:color="auto" w:val="clear"/>
            <w:tcMar>
              <w:top w:type="dxa" w:w="120"/>
              <w:left w:type="dxa" w:w="140"/>
              <w:bottom w:type="dxa" w:w="120"/>
              <w:right w:type="dxa" w:w="140"/>
            </w:tcMar>
          </w:tcPr>
          <w:p>
            <w:pPr>
              <w:spacing w:after="30"/>
            </w:pPr>
            <w:r>
              <w:rPr>
                <w:rFonts w:ascii="Calibri" w:cs="Calibri" w:eastAsia="Calibri" w:hAnsi="Calibri"/>
                <w:b/>
                <w:bCs/>
                <w:color w:val="5B6772"/>
                <w:spacing w:val="10"/>
                <w:sz w:val="14"/>
                <w:szCs w:val="14"/>
              </w:rPr>
              <w:t xml:space="preserve">SCORE RANGE</w:t>
            </w:r>
          </w:p>
          <w:p>
            <w:pPr>
              <w:spacing w:after="20"/>
            </w:pPr>
            <w:r>
              <w:rPr>
                <w:rFonts w:ascii="Calibri" w:cs="Calibri" w:eastAsia="Calibri" w:hAnsi="Calibri"/>
                <w:b/>
                <w:bCs/>
                <w:color w:val="0B2545"/>
                <w:sz w:val="30"/>
                <w:szCs w:val="30"/>
              </w:rPr>
              <w:t xml:space="preserve">890 – 960</w:t>
            </w:r>
          </w:p>
          <w:p>
            <w:r>
              <w:rPr>
                <w:rFonts w:ascii="Calibri" w:cs="Calibri" w:eastAsia="Calibri" w:hAnsi="Calibri"/>
                <w:color w:val="5B6772"/>
                <w:sz w:val="16"/>
                <w:szCs w:val="16"/>
              </w:rPr>
              <w:t xml:space="preserve">Total, across 6 tests</w:t>
            </w:r>
          </w:p>
        </w:tc>
        <w:tc>
          <w:tcPr>
            <w:tcW w:type="dxa" w:w="3120"/>
            <w:tcBorders>
              <w:top w:val="single" w:color="EEF2F7" w:sz="2"/>
              <w:left w:val="single" w:color="2E6BB8" w:sz="24"/>
              <w:bottom w:val="single" w:color="EEF2F7" w:sz="2"/>
              <w:right w:val="single" w:color="EEF2F7" w:sz="2"/>
            </w:tcBorders>
            <w:shd w:fill="EEF2F7" w:color="auto" w:val="clear"/>
            <w:tcMar>
              <w:top w:type="dxa" w:w="120"/>
              <w:left w:type="dxa" w:w="140"/>
              <w:bottom w:type="dxa" w:w="120"/>
              <w:right w:type="dxa" w:w="140"/>
            </w:tcMar>
          </w:tcPr>
          <w:p>
            <w:pPr>
              <w:spacing w:after="30"/>
            </w:pPr>
            <w:r>
              <w:rPr>
                <w:rFonts w:ascii="Calibri" w:cs="Calibri" w:eastAsia="Calibri" w:hAnsi="Calibri"/>
                <w:b/>
                <w:bCs/>
                <w:color w:val="5B6772"/>
                <w:spacing w:val="10"/>
                <w:sz w:val="14"/>
                <w:szCs w:val="14"/>
              </w:rPr>
              <w:t xml:space="preserve">PEAK SCORE</w:t>
            </w:r>
          </w:p>
          <w:p>
            <w:pPr>
              <w:spacing w:after="20"/>
            </w:pPr>
            <w:r>
              <w:rPr>
                <w:rFonts w:ascii="Calibri" w:cs="Calibri" w:eastAsia="Calibri" w:hAnsi="Calibri"/>
                <w:b/>
                <w:bCs/>
                <w:color w:val="0B2545"/>
                <w:sz w:val="30"/>
                <w:szCs w:val="30"/>
              </w:rPr>
              <w:t xml:space="preserve">960</w:t>
            </w:r>
          </w:p>
          <w:p>
            <w:r>
              <w:rPr>
                <w:rFonts w:ascii="Calibri" w:cs="Calibri" w:eastAsia="Calibri" w:hAnsi="Calibri"/>
                <w:color w:val="5B6772"/>
                <w:sz w:val="16"/>
                <w:szCs w:val="16"/>
              </w:rPr>
              <w:t xml:space="preserve">DSAT-05-A</w:t>
            </w:r>
          </w:p>
        </w:tc>
        <w:tc>
          <w:tcPr>
            <w:tcW w:type="dxa" w:w="3120"/>
            <w:tcBorders>
              <w:top w:val="single" w:color="EEF2F7" w:sz="2"/>
              <w:left w:val="single" w:color="2E6BB8" w:sz="24"/>
              <w:bottom w:val="single" w:color="EEF2F7" w:sz="2"/>
              <w:right w:val="single" w:color="EEF2F7" w:sz="2"/>
            </w:tcBorders>
            <w:shd w:fill="EEF2F7" w:color="auto" w:val="clear"/>
            <w:tcMar>
              <w:top w:type="dxa" w:w="120"/>
              <w:left w:type="dxa" w:w="140"/>
              <w:bottom w:type="dxa" w:w="120"/>
              <w:right w:type="dxa" w:w="140"/>
            </w:tcMar>
          </w:tcPr>
          <w:p>
            <w:pPr>
              <w:spacing w:after="30"/>
            </w:pPr>
            <w:r>
              <w:rPr>
                <w:rFonts w:ascii="Calibri" w:cs="Calibri" w:eastAsia="Calibri" w:hAnsi="Calibri"/>
                <w:b/>
                <w:bCs/>
                <w:color w:val="5B6772"/>
                <w:spacing w:val="10"/>
                <w:sz w:val="14"/>
                <w:szCs w:val="14"/>
              </w:rPr>
              <w:t xml:space="preserve">LATEST SCORE</w:t>
            </w:r>
          </w:p>
          <w:p>
            <w:pPr>
              <w:spacing w:after="20"/>
            </w:pPr>
            <w:r>
              <w:rPr>
                <w:rFonts w:ascii="Calibri" w:cs="Calibri" w:eastAsia="Calibri" w:hAnsi="Calibri"/>
                <w:b/>
                <w:bCs/>
                <w:color w:val="0B2545"/>
                <w:sz w:val="30"/>
                <w:szCs w:val="30"/>
              </w:rPr>
              <w:t xml:space="preserve">920</w:t>
            </w:r>
          </w:p>
          <w:p>
            <w:r>
              <w:rPr>
                <w:rFonts w:ascii="Calibri" w:cs="Calibri" w:eastAsia="Calibri" w:hAnsi="Calibri"/>
                <w:color w:val="5B6772"/>
                <w:sz w:val="16"/>
                <w:szCs w:val="16"/>
              </w:rPr>
              <w:t xml:space="preserve">DSAT-06-A</w:t>
            </w:r>
          </w:p>
        </w:tc>
      </w:tr>
    </w:tbl>
    <w:p>
      <w:pPr>
        <w:spacing w:after="160"/>
      </w:pPr>
    </w:p>
    <w:p>
      <w:pPr>
        <w:spacing w:after="60" w:line="264"/>
      </w:pPr>
      <w:r>
        <w:rPr>
          <w:rFonts w:ascii="Calibri" w:cs="Calibri" w:eastAsia="Calibri" w:hAnsi="Calibri"/>
          <w:b/>
          <w:bCs/>
          <w:color w:val="14315B"/>
          <w:sz w:val="20"/>
          <w:szCs w:val="20"/>
        </w:rPr>
        <w:t xml:space="preserve">Student Name:  </w:t>
      </w:r>
      <w:r>
        <w:rPr>
          <w:rFonts w:ascii="Calibri" w:cs="Calibri" w:eastAsia="Calibri" w:hAnsi="Calibri"/>
          <w:color w:val="22303F"/>
          <w:sz w:val="20"/>
          <w:szCs w:val="20"/>
        </w:rPr>
        <w:t xml:space="preserve">Sumin Yoon</w:t>
      </w:r>
    </w:p>
    <w:p>
      <w:pPr>
        <w:spacing w:after="90" w:line="264"/>
      </w:pPr>
      <w:r>
        <w:rPr>
          <w:rFonts w:ascii="Calibri" w:cs="Calibri" w:eastAsia="Calibri" w:hAnsi="Calibri"/>
          <w:b/>
          <w:bCs/>
          <w:color w:val="14315B"/>
          <w:sz w:val="20"/>
          <w:szCs w:val="20"/>
        </w:rPr>
        <w:t xml:space="preserve">Test Trajectory:  </w:t>
      </w:r>
      <w:r>
        <w:rPr>
          <w:rFonts w:ascii="Calibri" w:cs="Calibri" w:eastAsia="Calibri" w:hAnsi="Calibri"/>
          <w:color w:val="22303F"/>
          <w:sz w:val="20"/>
          <w:szCs w:val="20"/>
        </w:rPr>
        <w:t xml:space="preserve">930 (DSAT-01-B) → 890 (DSAT-02-A) → 930 (DSAT-03-A) → 910 (DSAT-04-A) → 960 (DSAT-05-A) → 920 (DSAT-06-A)</w:t>
      </w:r>
    </w:p>
    <w:p>
      <w:pPr>
        <w:spacing w:after="90" w:line="264"/>
        <w:jc w:val="both"/>
      </w:pPr>
      <w:r>
        <w:rPr>
          <w:rFonts w:ascii="Calibri" w:cs="Calibri" w:eastAsia="Calibri" w:hAnsi="Calibri"/>
          <w:b/>
          <w:bCs/>
          <w:color w:val="14315B"/>
          <w:sz w:val="20"/>
          <w:szCs w:val="20"/>
        </w:rPr>
        <w:t xml:space="preserve">Performance Trend:  </w:t>
      </w:r>
      <w:r>
        <w:rPr>
          <w:rFonts w:ascii="Calibri" w:cs="Calibri" w:eastAsia="Calibri" w:hAnsi="Calibri"/>
          <w:color w:val="22303F"/>
          <w:sz w:val="20"/>
          <w:szCs w:val="20"/>
        </w:rPr>
        <w:t xml:space="preserve">Sumin's total score has shown slight fluctuation, starting at 930 and ending at 920, with a peak of 960 on DSAT-05-A. Math scores were initially 430, dipped to 390, then showed some improvement to plateau around 460–480. Reading and Writing scores were volatile, starting at 500, dipping significantly to 430 on DSAT-04-A, and ending at 460. Omitted questions were minimal across all tests, indicating an attempt to answer all questions.</w:t>
      </w:r>
    </w:p>
    <w:p>
      <w:pPr>
        <w:pBdr>
          <w:bottom w:val="single" w:color="C9A227" w:sz="14" w:space="6"/>
        </w:pBdr>
        <w:spacing w:after="140" w:before="320"/>
      </w:pPr>
      <w:r>
        <w:rPr>
          <w:rFonts w:ascii="Calibri" w:cs="Calibri" w:eastAsia="Calibri" w:hAnsi="Calibri"/>
          <w:b/>
          <w:bCs/>
          <w:color w:val="0B2545"/>
          <w:sz w:val="26"/>
          <w:szCs w:val="26"/>
        </w:rPr>
        <w:t xml:space="preserve">Key Weaknesses &amp; Curricular Solutions</w:t>
      </w:r>
    </w:p>
    <w:p>
      <w:pPr>
        <w:spacing w:after="80" w:before="220"/>
      </w:pPr>
      <w:r>
        <w:rPr>
          <w:rFonts w:ascii="Calibri" w:cs="Calibri" w:eastAsia="Calibri" w:hAnsi="Calibri"/>
          <w:b/>
          <w:bCs/>
          <w:color w:val="2E6BB8"/>
          <w:sz w:val="22"/>
          <w:szCs w:val="22"/>
        </w:rPr>
        <w:t xml:space="preserve">1. </w:t>
      </w:r>
      <w:r>
        <w:rPr>
          <w:rFonts w:ascii="Calibri" w:cs="Calibri" w:eastAsia="Calibri" w:hAnsi="Calibri"/>
          <w:b/>
          <w:bCs/>
          <w:color w:val="14315B"/>
          <w:sz w:val="22"/>
          <w:szCs w:val="22"/>
        </w:rPr>
        <w:t xml:space="preserve">Math: Advanced Math</w:t>
      </w:r>
    </w:p>
    <w:tbl>
      <w:tblPr>
        <w:tblW w:type="auto" w:w="100"/>
        <w:tblBorders>
          <w:top w:val="none"/>
          <w:left w:val="none"/>
          <w:bottom w:val="none"/>
          <w:right w:val="none"/>
          <w:insideH w:val="none"/>
          <w:insideV w:val="none"/>
        </w:tblBorders>
      </w:tblPr>
      <w:tblGrid>
        <w:gridCol w:w="2600"/>
      </w:tblGrid>
      <w:tr>
        <w:tc>
          <w:tcPr>
            <w:tcW w:type="dxa" w:w="2600"/>
            <w:shd w:fill="B3261E" w:color="auto" w:val="clear"/>
            <w:tcMar>
              <w:top w:type="dxa" w:w="20"/>
              <w:left w:type="dxa" w:w="100"/>
              <w:bottom w:type="dxa" w:w="20"/>
              <w:right w:type="dxa" w:w="100"/>
            </w:tcMar>
          </w:tcPr>
          <w:p>
            <w:pPr>
              <w:jc w:val="center"/>
            </w:pPr>
            <w:r>
              <w:rPr>
                <w:rFonts w:ascii="Calibri" w:cs="Calibri" w:eastAsia="Calibri" w:hAnsi="Calibri"/>
                <w:b/>
                <w:bCs/>
                <w:color w:val="FFFFFF"/>
                <w:spacing w:val="12"/>
                <w:sz w:val="15"/>
                <w:szCs w:val="15"/>
              </w:rPr>
              <w:t xml:space="preserve">CRITICAL WEAKNESS</w:t>
            </w:r>
          </w:p>
        </w:tc>
      </w:tr>
    </w:tbl>
    <w:p>
      <w:pPr>
        <w:spacing w:after="80"/>
      </w:pPr>
    </w:p>
    <w:p>
      <w:pPr>
        <w:spacing w:after="110" w:line="264"/>
        <w:jc w:val="both"/>
      </w:pPr>
      <w:r>
        <w:rPr>
          <w:rFonts w:ascii="Calibri" w:cs="Calibri" w:eastAsia="Calibri" w:hAnsi="Calibri"/>
          <w:b/>
          <w:bCs/>
          <w:color w:val="14315B"/>
          <w:sz w:val="20"/>
          <w:szCs w:val="20"/>
        </w:rPr>
        <w:t xml:space="preserve">Specific Skills Lacking:  </w:t>
      </w:r>
      <w:r>
        <w:rPr>
          <w:rFonts w:ascii="Calibri" w:cs="Calibri" w:eastAsia="Calibri" w:hAnsi="Calibri"/>
          <w:color w:val="22303F"/>
          <w:sz w:val="20"/>
          <w:szCs w:val="20"/>
        </w:rPr>
        <w:t xml:space="preserve">Sumin consistently struggles with Advanced Math concepts, scoring 58% on DSAT-01-B, dropping to 25% on DSAT-03-A, and remaining low at 33% on DSAT-06-A. This indicates a significant gap in understanding higher-level algebraic functions, polynomials, and their graphical representations. The student likely faces challenges in identifying key features from quadratic equations, manipulating polynomials, and interpreting function graphs, potentially due to common mistakes like failing to identify vertex/roots or misunderstanding tangency.</w:t>
      </w:r>
    </w:p>
    <w:p>
      <w:pPr>
        <w:spacing w:after="50"/>
      </w:pPr>
      <w:r>
        <w:rPr>
          <w:rFonts w:ascii="Calibri" w:cs="Calibri" w:eastAsia="Calibri" w:hAnsi="Calibri"/>
          <w:b/>
          <w:bCs/>
          <w:color w:val="2E6BB8"/>
          <w:sz w:val="19"/>
          <w:szCs w:val="19"/>
        </w:rPr>
        <w:t xml:space="preserve">Curriculum Chapters</w:t>
      </w:r>
    </w:p>
    <w:p>
      <w:pPr>
        <w:pStyle w:val="ListParagraph"/>
        <w:numPr>
          <w:ilvl w:val="0"/>
          <w:numId w:val="2"/>
        </w:numPr>
        <w:spacing w:after="40" w:line="260"/>
      </w:pPr>
      <w:r>
        <w:rPr>
          <w:rFonts w:ascii="Calibri" w:cs="Calibri" w:eastAsia="Calibri" w:hAnsi="Calibri"/>
          <w:color w:val="22303F"/>
          <w:sz w:val="19"/>
          <w:szCs w:val="19"/>
        </w:rPr>
        <w:t xml:space="preserve">Chapter 32: Quadratic Equations</w:t>
      </w:r>
    </w:p>
    <w:p>
      <w:pPr>
        <w:pStyle w:val="ListParagraph"/>
        <w:numPr>
          <w:ilvl w:val="0"/>
          <w:numId w:val="2"/>
        </w:numPr>
        <w:spacing w:after="40" w:line="260"/>
      </w:pPr>
      <w:r>
        <w:rPr>
          <w:rFonts w:ascii="Calibri" w:cs="Calibri" w:eastAsia="Calibri" w:hAnsi="Calibri"/>
          <w:color w:val="22303F"/>
          <w:sz w:val="19"/>
          <w:szCs w:val="19"/>
        </w:rPr>
        <w:t xml:space="preserve">Chapter 35: Polynomials</w:t>
      </w:r>
    </w:p>
    <w:p>
      <w:pPr>
        <w:pStyle w:val="ListParagraph"/>
        <w:numPr>
          <w:ilvl w:val="0"/>
          <w:numId w:val="2"/>
        </w:numPr>
        <w:spacing w:after="40" w:line="260"/>
      </w:pPr>
      <w:r>
        <w:rPr>
          <w:rFonts w:ascii="Calibri" w:cs="Calibri" w:eastAsia="Calibri" w:hAnsi="Calibri"/>
          <w:color w:val="22303F"/>
          <w:sz w:val="19"/>
          <w:szCs w:val="19"/>
        </w:rPr>
        <w:t xml:space="preserve">Chapter 36: Graphs of Functions</w:t>
      </w:r>
    </w:p>
    <w:p>
      <w:pPr>
        <w:pStyle w:val="ListParagraph"/>
        <w:numPr>
          <w:ilvl w:val="0"/>
          <w:numId w:val="2"/>
        </w:numPr>
        <w:spacing w:after="40" w:line="260"/>
      </w:pPr>
      <w:r>
        <w:rPr>
          <w:rFonts w:ascii="Calibri" w:cs="Calibri" w:eastAsia="Calibri" w:hAnsi="Calibri"/>
          <w:color w:val="22303F"/>
          <w:sz w:val="19"/>
          <w:szCs w:val="19"/>
        </w:rPr>
        <w:t xml:space="preserve">Chapter 37: Nonlinear Equations in Context</w:t>
      </w:r>
    </w:p>
    <w:p>
      <w:pPr>
        <w:spacing w:after="80" w:before="220"/>
      </w:pPr>
      <w:r>
        <w:rPr>
          <w:rFonts w:ascii="Calibri" w:cs="Calibri" w:eastAsia="Calibri" w:hAnsi="Calibri"/>
          <w:b/>
          <w:bCs/>
          <w:color w:val="2E6BB8"/>
          <w:sz w:val="22"/>
          <w:szCs w:val="22"/>
        </w:rPr>
        <w:t xml:space="preserve">2. </w:t>
      </w:r>
      <w:r>
        <w:rPr>
          <w:rFonts w:ascii="Calibri" w:cs="Calibri" w:eastAsia="Calibri" w:hAnsi="Calibri"/>
          <w:b/>
          <w:bCs/>
          <w:color w:val="14315B"/>
          <w:sz w:val="22"/>
          <w:szCs w:val="22"/>
        </w:rPr>
        <w:t xml:space="preserve">Math: Geometry and Trigonometry</w:t>
      </w:r>
    </w:p>
    <w:tbl>
      <w:tblPr>
        <w:tblW w:type="auto" w:w="100"/>
        <w:tblBorders>
          <w:top w:val="none"/>
          <w:left w:val="none"/>
          <w:bottom w:val="none"/>
          <w:right w:val="none"/>
          <w:insideH w:val="none"/>
          <w:insideV w:val="none"/>
        </w:tblBorders>
      </w:tblPr>
      <w:tblGrid>
        <w:gridCol w:w="2600"/>
      </w:tblGrid>
      <w:tr>
        <w:tc>
          <w:tcPr>
            <w:tcW w:type="dxa" w:w="2600"/>
            <w:shd w:fill="2E6BB8" w:color="auto" w:val="clear"/>
            <w:tcMar>
              <w:top w:type="dxa" w:w="20"/>
              <w:left w:type="dxa" w:w="100"/>
              <w:bottom w:type="dxa" w:w="20"/>
              <w:right w:type="dxa" w:w="100"/>
            </w:tcMar>
          </w:tcPr>
          <w:p>
            <w:pPr>
              <w:jc w:val="center"/>
            </w:pPr>
            <w:r>
              <w:rPr>
                <w:rFonts w:ascii="Calibri" w:cs="Calibri" w:eastAsia="Calibri" w:hAnsi="Calibri"/>
                <w:b/>
                <w:bCs/>
                <w:color w:val="FFFFFF"/>
                <w:spacing w:val="12"/>
                <w:sz w:val="15"/>
                <w:szCs w:val="15"/>
              </w:rPr>
              <w:t xml:space="preserve">FOUNDATIONAL GAP</w:t>
            </w:r>
          </w:p>
        </w:tc>
      </w:tr>
    </w:tbl>
    <w:p>
      <w:pPr>
        <w:spacing w:after="80"/>
      </w:pPr>
    </w:p>
    <w:p>
      <w:pPr>
        <w:spacing w:after="110" w:line="264"/>
        <w:jc w:val="both"/>
      </w:pPr>
      <w:r>
        <w:rPr>
          <w:rFonts w:ascii="Calibri" w:cs="Calibri" w:eastAsia="Calibri" w:hAnsi="Calibri"/>
          <w:b/>
          <w:bCs/>
          <w:color w:val="14315B"/>
          <w:sz w:val="20"/>
          <w:szCs w:val="20"/>
        </w:rPr>
        <w:t xml:space="preserve">Specific Skills Lacking:  </w:t>
      </w:r>
      <w:r>
        <w:rPr>
          <w:rFonts w:ascii="Calibri" w:cs="Calibri" w:eastAsia="Calibri" w:hAnsi="Calibri"/>
          <w:color w:val="22303F"/>
          <w:sz w:val="20"/>
          <w:szCs w:val="20"/>
        </w:rPr>
        <w:t xml:space="preserve">Performance in Geometry and Trigonometry is highly inconsistent and frequently low, with scores of 38% on DSAT-01-B, 17% on DSAT-03-A, and 38% on DSAT-05-A. This suggests a foundational gap in basic geometric principles, including properties of lines and angles, right triangle theorems, and area/volume calculations. The student may be making common mistakes such as trusting non-scale diagrams, failing to memorize special ratios for right triangles, or incorrectly applying area and volume formulas.</w:t>
      </w:r>
    </w:p>
    <w:p>
      <w:pPr>
        <w:spacing w:after="50"/>
      </w:pPr>
      <w:r>
        <w:rPr>
          <w:rFonts w:ascii="Calibri" w:cs="Calibri" w:eastAsia="Calibri" w:hAnsi="Calibri"/>
          <w:b/>
          <w:bCs/>
          <w:color w:val="2E6BB8"/>
          <w:sz w:val="19"/>
          <w:szCs w:val="19"/>
        </w:rPr>
        <w:t xml:space="preserve">Curriculum Chapters</w:t>
      </w:r>
    </w:p>
    <w:p>
      <w:pPr>
        <w:pStyle w:val="ListParagraph"/>
        <w:numPr>
          <w:ilvl w:val="0"/>
          <w:numId w:val="2"/>
        </w:numPr>
        <w:spacing w:after="40" w:line="260"/>
      </w:pPr>
      <w:r>
        <w:rPr>
          <w:rFonts w:ascii="Calibri" w:cs="Calibri" w:eastAsia="Calibri" w:hAnsi="Calibri"/>
          <w:color w:val="22303F"/>
          <w:sz w:val="19"/>
          <w:szCs w:val="19"/>
        </w:rPr>
        <w:t xml:space="preserve">Chapter 15: Lines and Angles</w:t>
      </w:r>
    </w:p>
    <w:p>
      <w:pPr>
        <w:pStyle w:val="ListParagraph"/>
        <w:numPr>
          <w:ilvl w:val="0"/>
          <w:numId w:val="2"/>
        </w:numPr>
        <w:spacing w:after="40" w:line="260"/>
      </w:pPr>
      <w:r>
        <w:rPr>
          <w:rFonts w:ascii="Calibri" w:cs="Calibri" w:eastAsia="Calibri" w:hAnsi="Calibri"/>
          <w:color w:val="22303F"/>
          <w:sz w:val="19"/>
          <w:szCs w:val="19"/>
        </w:rPr>
        <w:t xml:space="preserve">Chapter 26: Right Triangles</w:t>
      </w:r>
    </w:p>
    <w:p>
      <w:pPr>
        <w:pStyle w:val="ListParagraph"/>
        <w:numPr>
          <w:ilvl w:val="0"/>
          <w:numId w:val="2"/>
        </w:numPr>
        <w:spacing w:after="40" w:line="260"/>
      </w:pPr>
      <w:r>
        <w:rPr>
          <w:rFonts w:ascii="Calibri" w:cs="Calibri" w:eastAsia="Calibri" w:hAnsi="Calibri"/>
          <w:color w:val="22303F"/>
          <w:sz w:val="19"/>
          <w:szCs w:val="19"/>
        </w:rPr>
        <w:t xml:space="preserve">Chapter 28: Area and Volume</w:t>
      </w:r>
    </w:p>
    <w:p>
      <w:pPr>
        <w:pStyle w:val="ListParagraph"/>
        <w:numPr>
          <w:ilvl w:val="0"/>
          <w:numId w:val="2"/>
        </w:numPr>
        <w:spacing w:after="40" w:line="260"/>
      </w:pPr>
      <w:r>
        <w:rPr>
          <w:rFonts w:ascii="Calibri" w:cs="Calibri" w:eastAsia="Calibri" w:hAnsi="Calibri"/>
          <w:color w:val="22303F"/>
          <w:sz w:val="19"/>
          <w:szCs w:val="19"/>
        </w:rPr>
        <w:t xml:space="preserve">Chapter 29: Circles</w:t>
      </w:r>
    </w:p>
    <w:p>
      <w:pPr>
        <w:spacing w:after="80" w:before="220"/>
      </w:pPr>
      <w:r>
        <w:rPr>
          <w:rFonts w:ascii="Calibri" w:cs="Calibri" w:eastAsia="Calibri" w:hAnsi="Calibri"/>
          <w:b/>
          <w:bCs/>
          <w:color w:val="2E6BB8"/>
          <w:sz w:val="22"/>
          <w:szCs w:val="22"/>
        </w:rPr>
        <w:t xml:space="preserve">3. </w:t>
      </w:r>
      <w:r>
        <w:rPr>
          <w:rFonts w:ascii="Calibri" w:cs="Calibri" w:eastAsia="Calibri" w:hAnsi="Calibri"/>
          <w:b/>
          <w:bCs/>
          <w:color w:val="14315B"/>
          <w:sz w:val="22"/>
          <w:szCs w:val="22"/>
        </w:rPr>
        <w:t xml:space="preserve">Reading and Writing: Standard English Conventions</w:t>
      </w:r>
    </w:p>
    <w:tbl>
      <w:tblPr>
        <w:tblW w:type="auto" w:w="100"/>
        <w:tblBorders>
          <w:top w:val="none"/>
          <w:left w:val="none"/>
          <w:bottom w:val="none"/>
          <w:right w:val="none"/>
          <w:insideH w:val="none"/>
          <w:insideV w:val="none"/>
        </w:tblBorders>
      </w:tblPr>
      <w:tblGrid>
        <w:gridCol w:w="2600"/>
      </w:tblGrid>
      <w:tr>
        <w:tc>
          <w:tcPr>
            <w:tcW w:type="dxa" w:w="2600"/>
            <w:shd w:fill="B3261E" w:color="auto" w:val="clear"/>
            <w:tcMar>
              <w:top w:type="dxa" w:w="20"/>
              <w:left w:type="dxa" w:w="100"/>
              <w:bottom w:type="dxa" w:w="20"/>
              <w:right w:type="dxa" w:w="100"/>
            </w:tcMar>
          </w:tcPr>
          <w:p>
            <w:pPr>
              <w:jc w:val="center"/>
            </w:pPr>
            <w:r>
              <w:rPr>
                <w:rFonts w:ascii="Calibri" w:cs="Calibri" w:eastAsia="Calibri" w:hAnsi="Calibri"/>
                <w:b/>
                <w:bCs/>
                <w:color w:val="FFFFFF"/>
                <w:spacing w:val="12"/>
                <w:sz w:val="15"/>
                <w:szCs w:val="15"/>
              </w:rPr>
              <w:t xml:space="preserve">CRITICAL WEAKNESS</w:t>
            </w:r>
          </w:p>
        </w:tc>
      </w:tr>
    </w:tbl>
    <w:p>
      <w:pPr>
        <w:spacing w:after="80"/>
      </w:pPr>
    </w:p>
    <w:p>
      <w:pPr>
        <w:spacing w:after="110" w:line="264"/>
        <w:jc w:val="both"/>
      </w:pPr>
      <w:r>
        <w:rPr>
          <w:rFonts w:ascii="Calibri" w:cs="Calibri" w:eastAsia="Calibri" w:hAnsi="Calibri"/>
          <w:b/>
          <w:bCs/>
          <w:color w:val="14315B"/>
          <w:sz w:val="20"/>
          <w:szCs w:val="20"/>
        </w:rPr>
        <w:t xml:space="preserve">Specific Skills Lacking:  </w:t>
      </w:r>
      <w:r>
        <w:rPr>
          <w:rFonts w:ascii="Calibri" w:cs="Calibri" w:eastAsia="Calibri" w:hAnsi="Calibri"/>
          <w:color w:val="22303F"/>
          <w:sz w:val="20"/>
          <w:szCs w:val="20"/>
        </w:rPr>
        <w:t xml:space="preserve">Sumin's performance in Standard English Conventions is extremely volatile and concerning, with scores ranging from 71% on DSAT-02-A to a critical 0% on DSAT-06-A and 21% on DSAT-04-A. This indicates a severe and inconsistent grasp of fundamental grammar and punctuation rules. The student likely struggles with identifying and correcting errors related to sentence structure (clauses), subject-verb agreement, proper use of possessives, and various punctuation marks, often relying on what “sounds right” rather than strict grammatical rules.</w:t>
      </w:r>
    </w:p>
    <w:p>
      <w:pPr>
        <w:spacing w:after="50"/>
      </w:pPr>
      <w:r>
        <w:rPr>
          <w:rFonts w:ascii="Calibri" w:cs="Calibri" w:eastAsia="Calibri" w:hAnsi="Calibri"/>
          <w:b/>
          <w:bCs/>
          <w:color w:val="2E6BB8"/>
          <w:sz w:val="19"/>
          <w:szCs w:val="19"/>
        </w:rPr>
        <w:t xml:space="preserve">Curriculum Chapters</w:t>
      </w:r>
    </w:p>
    <w:p>
      <w:pPr>
        <w:pStyle w:val="ListParagraph"/>
        <w:numPr>
          <w:ilvl w:val="0"/>
          <w:numId w:val="2"/>
        </w:numPr>
        <w:spacing w:after="40" w:line="260"/>
      </w:pPr>
      <w:r>
        <w:rPr>
          <w:rFonts w:ascii="Calibri" w:cs="Calibri" w:eastAsia="Calibri" w:hAnsi="Calibri"/>
          <w:color w:val="22303F"/>
          <w:sz w:val="19"/>
          <w:szCs w:val="19"/>
        </w:rPr>
        <w:t xml:space="preserve">Chapter 6: Clauses</w:t>
      </w:r>
    </w:p>
    <w:p>
      <w:pPr>
        <w:pStyle w:val="ListParagraph"/>
        <w:numPr>
          <w:ilvl w:val="0"/>
          <w:numId w:val="2"/>
        </w:numPr>
        <w:spacing w:after="40" w:line="260"/>
      </w:pPr>
      <w:r>
        <w:rPr>
          <w:rFonts w:ascii="Calibri" w:cs="Calibri" w:eastAsia="Calibri" w:hAnsi="Calibri"/>
          <w:color w:val="22303F"/>
          <w:sz w:val="19"/>
          <w:szCs w:val="19"/>
        </w:rPr>
        <w:t xml:space="preserve">Chapter 9: Subject-Verb Agreement / Collective Nouns</w:t>
      </w:r>
    </w:p>
    <w:p>
      <w:pPr>
        <w:pStyle w:val="ListParagraph"/>
        <w:numPr>
          <w:ilvl w:val="0"/>
          <w:numId w:val="2"/>
        </w:numPr>
        <w:spacing w:after="40" w:line="260"/>
      </w:pPr>
      <w:r>
        <w:rPr>
          <w:rFonts w:ascii="Calibri" w:cs="Calibri" w:eastAsia="Calibri" w:hAnsi="Calibri"/>
          <w:color w:val="22303F"/>
          <w:sz w:val="19"/>
          <w:szCs w:val="19"/>
        </w:rPr>
        <w:t xml:space="preserve">Chapter 13: Possessive Nouns and Possessive Determiners</w:t>
      </w:r>
    </w:p>
    <w:p>
      <w:pPr>
        <w:pStyle w:val="ListParagraph"/>
        <w:numPr>
          <w:ilvl w:val="0"/>
          <w:numId w:val="2"/>
        </w:numPr>
        <w:spacing w:after="40" w:line="260"/>
      </w:pPr>
      <w:r>
        <w:rPr>
          <w:rFonts w:ascii="Calibri" w:cs="Calibri" w:eastAsia="Calibri" w:hAnsi="Calibri"/>
          <w:color w:val="22303F"/>
          <w:sz w:val="19"/>
          <w:szCs w:val="19"/>
        </w:rPr>
        <w:t xml:space="preserve">Chapter 21: Punctuation</w:t>
      </w:r>
    </w:p>
    <w:p>
      <w:pPr>
        <w:spacing w:after="80" w:before="220"/>
      </w:pPr>
      <w:r>
        <w:rPr>
          <w:rFonts w:ascii="Calibri" w:cs="Calibri" w:eastAsia="Calibri" w:hAnsi="Calibri"/>
          <w:b/>
          <w:bCs/>
          <w:color w:val="2E6BB8"/>
          <w:sz w:val="22"/>
          <w:szCs w:val="22"/>
        </w:rPr>
        <w:t xml:space="preserve">4. </w:t>
      </w:r>
      <w:r>
        <w:rPr>
          <w:rFonts w:ascii="Calibri" w:cs="Calibri" w:eastAsia="Calibri" w:hAnsi="Calibri"/>
          <w:b/>
          <w:bCs/>
          <w:color w:val="14315B"/>
          <w:sz w:val="22"/>
          <w:szCs w:val="22"/>
        </w:rPr>
        <w:t xml:space="preserve">Reading and Writing: Craft and Structure</w:t>
      </w:r>
    </w:p>
    <w:tbl>
      <w:tblPr>
        <w:tblW w:type="auto" w:w="100"/>
        <w:tblBorders>
          <w:top w:val="none"/>
          <w:left w:val="none"/>
          <w:bottom w:val="none"/>
          <w:right w:val="none"/>
          <w:insideH w:val="none"/>
          <w:insideV w:val="none"/>
        </w:tblBorders>
      </w:tblPr>
      <w:tblGrid>
        <w:gridCol w:w="2600"/>
      </w:tblGrid>
      <w:tr>
        <w:tc>
          <w:tcPr>
            <w:tcW w:type="dxa" w:w="2600"/>
            <w:shd w:fill="2E6BB8" w:color="auto" w:val="clear"/>
            <w:tcMar>
              <w:top w:type="dxa" w:w="20"/>
              <w:left w:type="dxa" w:w="100"/>
              <w:bottom w:type="dxa" w:w="20"/>
              <w:right w:type="dxa" w:w="100"/>
            </w:tcMar>
          </w:tcPr>
          <w:p>
            <w:pPr>
              <w:jc w:val="center"/>
            </w:pPr>
            <w:r>
              <w:rPr>
                <w:rFonts w:ascii="Calibri" w:cs="Calibri" w:eastAsia="Calibri" w:hAnsi="Calibri"/>
                <w:b/>
                <w:bCs/>
                <w:color w:val="FFFFFF"/>
                <w:spacing w:val="12"/>
                <w:sz w:val="15"/>
                <w:szCs w:val="15"/>
              </w:rPr>
              <w:t xml:space="preserve">FOUNDATIONAL GAP</w:t>
            </w:r>
          </w:p>
        </w:tc>
      </w:tr>
    </w:tbl>
    <w:p>
      <w:pPr>
        <w:spacing w:after="80"/>
      </w:pPr>
    </w:p>
    <w:p>
      <w:pPr>
        <w:spacing w:after="110" w:line="264"/>
        <w:jc w:val="both"/>
      </w:pPr>
      <w:r>
        <w:rPr>
          <w:rFonts w:ascii="Calibri" w:cs="Calibri" w:eastAsia="Calibri" w:hAnsi="Calibri"/>
          <w:b/>
          <w:bCs/>
          <w:color w:val="14315B"/>
          <w:sz w:val="20"/>
          <w:szCs w:val="20"/>
        </w:rPr>
        <w:t xml:space="preserve">Specific Skills Lacking:  </w:t>
      </w:r>
      <w:r>
        <w:rPr>
          <w:rFonts w:ascii="Calibri" w:cs="Calibri" w:eastAsia="Calibri" w:hAnsi="Calibri"/>
          <w:color w:val="22303F"/>
          <w:sz w:val="20"/>
          <w:szCs w:val="20"/>
        </w:rPr>
        <w:t xml:space="preserve">The student consistently scores in the low to mid-50s for Craft and Structure, with a notable dip to 33% on DSAT-02-A. This suggests difficulty in analyzing how authors use language, word choice, and text organization to achieve specific purposes. Sumin may be struggling with interpreting words in context beyond their primary definitions or identifying the main purpose of a text versus the function of specific parts.</w:t>
      </w:r>
    </w:p>
    <w:p>
      <w:pPr>
        <w:spacing w:after="50"/>
      </w:pPr>
      <w:r>
        <w:rPr>
          <w:rFonts w:ascii="Calibri" w:cs="Calibri" w:eastAsia="Calibri" w:hAnsi="Calibri"/>
          <w:b/>
          <w:bCs/>
          <w:color w:val="2E6BB8"/>
          <w:sz w:val="19"/>
          <w:szCs w:val="19"/>
        </w:rPr>
        <w:t xml:space="preserve">Curriculum Chapters</w:t>
      </w:r>
    </w:p>
    <w:p>
      <w:pPr>
        <w:pStyle w:val="ListParagraph"/>
        <w:numPr>
          <w:ilvl w:val="0"/>
          <w:numId w:val="2"/>
        </w:numPr>
        <w:spacing w:after="40" w:line="260"/>
      </w:pPr>
      <w:r>
        <w:rPr>
          <w:rFonts w:ascii="Calibri" w:cs="Calibri" w:eastAsia="Calibri" w:hAnsi="Calibri"/>
          <w:color w:val="22303F"/>
          <w:sz w:val="19"/>
          <w:szCs w:val="19"/>
        </w:rPr>
        <w:t xml:space="preserve">Chapter 12: Words in Context</w:t>
      </w:r>
    </w:p>
    <w:p>
      <w:pPr>
        <w:pStyle w:val="ListParagraph"/>
        <w:numPr>
          <w:ilvl w:val="0"/>
          <w:numId w:val="2"/>
        </w:numPr>
        <w:spacing w:after="40" w:line="260"/>
      </w:pPr>
      <w:r>
        <w:rPr>
          <w:rFonts w:ascii="Calibri" w:cs="Calibri" w:eastAsia="Calibri" w:hAnsi="Calibri"/>
          <w:color w:val="22303F"/>
          <w:sz w:val="19"/>
          <w:szCs w:val="19"/>
        </w:rPr>
        <w:t xml:space="preserve">Chapter 16: Text Structure and Purpose</w:t>
      </w:r>
    </w:p>
    <w:p>
      <w:r>
        <w:br w:type="page"/>
      </w:r>
    </w:p>
    <w:p>
      <w:pPr>
        <w:pBdr>
          <w:bottom w:val="single" w:color="C9A227" w:sz="14" w:space="6"/>
        </w:pBdr>
        <w:spacing w:after="140" w:before="320"/>
      </w:pPr>
      <w:r>
        <w:rPr>
          <w:rFonts w:ascii="Calibri" w:cs="Calibri" w:eastAsia="Calibri" w:hAnsi="Calibri"/>
          <w:b/>
          <w:bCs/>
          <w:color w:val="0B2545"/>
          <w:sz w:val="26"/>
          <w:szCs w:val="26"/>
        </w:rPr>
        <w:t xml:space="preserve">Tutoring Recommendations &amp; Logistics</w:t>
      </w:r>
    </w:p>
    <w:tbl>
      <w:tblPr>
        <w:tblW w:type="dxa" w:w="9600"/>
        <w:tblBorders>
          <w:top w:val="none"/>
          <w:left w:val="none"/>
          <w:bottom w:val="none"/>
          <w:right w:val="none"/>
          <w:insideH w:val="single" w:color="FFFFFF" w:sz="24"/>
          <w:insideV w:val="single" w:color="FFFFFF" w:sz="24"/>
        </w:tblBorders>
      </w:tblPr>
      <w:tblGrid>
        <w:gridCol w:w="3200"/>
        <w:gridCol w:w="3200"/>
        <w:gridCol w:w="3200"/>
      </w:tblGrid>
      <w:tr>
        <w:tc>
          <w:tcPr>
            <w:tcW w:type="dxa" w:w="3120"/>
            <w:tcBorders>
              <w:top w:val="single" w:color="EEF2F7" w:sz="2"/>
              <w:left w:val="single" w:color="2E6BB8" w:sz="24"/>
              <w:bottom w:val="single" w:color="EEF2F7" w:sz="2"/>
              <w:right w:val="single" w:color="EEF2F7" w:sz="2"/>
            </w:tcBorders>
            <w:shd w:fill="EEF2F7" w:color="auto" w:val="clear"/>
            <w:tcMar>
              <w:top w:type="dxa" w:w="120"/>
              <w:left w:type="dxa" w:w="140"/>
              <w:bottom w:type="dxa" w:w="120"/>
              <w:right w:type="dxa" w:w="140"/>
            </w:tcMar>
          </w:tcPr>
          <w:p>
            <w:pPr>
              <w:spacing w:after="30"/>
            </w:pPr>
            <w:r>
              <w:rPr>
                <w:rFonts w:ascii="Calibri" w:cs="Calibri" w:eastAsia="Calibri" w:hAnsi="Calibri"/>
                <w:b/>
                <w:bCs/>
                <w:color w:val="5B6772"/>
                <w:spacing w:val="10"/>
                <w:sz w:val="14"/>
                <w:szCs w:val="14"/>
              </w:rPr>
              <w:t xml:space="preserve">TARGET SCORE</w:t>
            </w:r>
          </w:p>
          <w:p>
            <w:pPr>
              <w:spacing w:after="20"/>
            </w:pPr>
            <w:r>
              <w:rPr>
                <w:rFonts w:ascii="Calibri" w:cs="Calibri" w:eastAsia="Calibri" w:hAnsi="Calibri"/>
                <w:b/>
                <w:bCs/>
                <w:color w:val="0B2545"/>
                <w:sz w:val="30"/>
                <w:szCs w:val="30"/>
              </w:rPr>
              <w:t xml:space="preserve">1200 – 1250</w:t>
            </w:r>
          </w:p>
          <w:p>
            <w:r>
              <w:rPr>
                <w:rFonts w:ascii="Calibri" w:cs="Calibri" w:eastAsia="Calibri" w:hAnsi="Calibri"/>
                <w:color w:val="5B6772"/>
                <w:sz w:val="16"/>
                <w:szCs w:val="16"/>
              </w:rPr>
              <w:t xml:space="preserve">Math 600–625 · RW 600–625</w:t>
            </w:r>
          </w:p>
        </w:tc>
        <w:tc>
          <w:tcPr>
            <w:tcW w:type="dxa" w:w="3120"/>
            <w:tcBorders>
              <w:top w:val="single" w:color="EEF2F7" w:sz="2"/>
              <w:left w:val="single" w:color="2E6BB8" w:sz="24"/>
              <w:bottom w:val="single" w:color="EEF2F7" w:sz="2"/>
              <w:right w:val="single" w:color="EEF2F7" w:sz="2"/>
            </w:tcBorders>
            <w:shd w:fill="EEF2F7" w:color="auto" w:val="clear"/>
            <w:tcMar>
              <w:top w:type="dxa" w:w="120"/>
              <w:left w:type="dxa" w:w="140"/>
              <w:bottom w:type="dxa" w:w="120"/>
              <w:right w:type="dxa" w:w="140"/>
            </w:tcMar>
          </w:tcPr>
          <w:p>
            <w:pPr>
              <w:spacing w:after="30"/>
            </w:pPr>
            <w:r>
              <w:rPr>
                <w:rFonts w:ascii="Calibri" w:cs="Calibri" w:eastAsia="Calibri" w:hAnsi="Calibri"/>
                <w:b/>
                <w:bCs/>
                <w:color w:val="5B6772"/>
                <w:spacing w:val="10"/>
                <w:sz w:val="14"/>
                <w:szCs w:val="14"/>
              </w:rPr>
              <w:t xml:space="preserve">TOTAL HOURS</w:t>
            </w:r>
          </w:p>
          <w:p>
            <w:pPr>
              <w:spacing w:after="20"/>
            </w:pPr>
            <w:r>
              <w:rPr>
                <w:rFonts w:ascii="Calibri" w:cs="Calibri" w:eastAsia="Calibri" w:hAnsi="Calibri"/>
                <w:b/>
                <w:bCs/>
                <w:color w:val="0B2545"/>
                <w:sz w:val="30"/>
                <w:szCs w:val="30"/>
              </w:rPr>
              <w:t xml:space="preserve">24 Hours</w:t>
            </w:r>
          </w:p>
          <w:p>
            <w:r>
              <w:rPr>
                <w:rFonts w:ascii="Calibri" w:cs="Calibri" w:eastAsia="Calibri" w:hAnsi="Calibri"/>
                <w:color w:val="5B6772"/>
                <w:sz w:val="16"/>
                <w:szCs w:val="16"/>
              </w:rPr>
              <w:t xml:space="preserve">16 Math / 8 RW</w:t>
            </w:r>
          </w:p>
        </w:tc>
        <w:tc>
          <w:tcPr>
            <w:tcW w:type="dxa" w:w="3120"/>
            <w:tcBorders>
              <w:top w:val="single" w:color="EEF2F7" w:sz="2"/>
              <w:left w:val="single" w:color="2E6BB8" w:sz="24"/>
              <w:bottom w:val="single" w:color="EEF2F7" w:sz="2"/>
              <w:right w:val="single" w:color="EEF2F7" w:sz="2"/>
            </w:tcBorders>
            <w:shd w:fill="EEF2F7" w:color="auto" w:val="clear"/>
            <w:tcMar>
              <w:top w:type="dxa" w:w="120"/>
              <w:left w:type="dxa" w:w="140"/>
              <w:bottom w:type="dxa" w:w="120"/>
              <w:right w:type="dxa" w:w="140"/>
            </w:tcMar>
          </w:tcPr>
          <w:p>
            <w:pPr>
              <w:spacing w:after="30"/>
            </w:pPr>
            <w:r>
              <w:rPr>
                <w:rFonts w:ascii="Calibri" w:cs="Calibri" w:eastAsia="Calibri" w:hAnsi="Calibri"/>
                <w:b/>
                <w:bCs/>
                <w:color w:val="5B6772"/>
                <w:spacing w:val="10"/>
                <w:sz w:val="14"/>
                <w:szCs w:val="14"/>
              </w:rPr>
              <w:t xml:space="preserve">FREQUENCY</w:t>
            </w:r>
          </w:p>
          <w:p>
            <w:pPr>
              <w:spacing w:after="20"/>
            </w:pPr>
            <w:r>
              <w:rPr>
                <w:rFonts w:ascii="Calibri" w:cs="Calibri" w:eastAsia="Calibri" w:hAnsi="Calibri"/>
                <w:b/>
                <w:bCs/>
                <w:color w:val="0B2545"/>
                <w:sz w:val="30"/>
                <w:szCs w:val="30"/>
              </w:rPr>
              <w:t xml:space="preserve">2 / week</w:t>
            </w:r>
          </w:p>
          <w:p>
            <w:r>
              <w:rPr>
                <w:rFonts w:ascii="Calibri" w:cs="Calibri" w:eastAsia="Calibri" w:hAnsi="Calibri"/>
                <w:color w:val="5B6772"/>
                <w:sz w:val="16"/>
                <w:szCs w:val="16"/>
              </w:rPr>
              <w:t xml:space="preserve">1.5 hrs per session</w:t>
            </w:r>
          </w:p>
        </w:tc>
      </w:tr>
    </w:tbl>
    <w:p>
      <w:pPr>
        <w:spacing w:after="160"/>
      </w:pPr>
    </w:p>
    <w:p>
      <w:pPr>
        <w:spacing w:after="90" w:line="264"/>
        <w:jc w:val="both"/>
      </w:pPr>
      <w:r>
        <w:rPr>
          <w:rFonts w:ascii="Calibri" w:cs="Calibri" w:eastAsia="Calibri" w:hAnsi="Calibri"/>
          <w:b/>
          <w:bCs/>
          <w:color w:val="14315B"/>
          <w:sz w:val="20"/>
          <w:szCs w:val="20"/>
        </w:rPr>
        <w:t xml:space="preserve">Goal Breakdown:  </w:t>
      </w:r>
      <w:r>
        <w:rPr>
          <w:rFonts w:ascii="Calibri" w:cs="Calibri" w:eastAsia="Calibri" w:hAnsi="Calibri"/>
          <w:color w:val="22303F"/>
          <w:sz w:val="20"/>
          <w:szCs w:val="20"/>
        </w:rPr>
        <w:t xml:space="preserve">The goal is to achieve a Math score of 600–625 and a Reading &amp; Writing score of 600–625, focusing on building foundational knowledge to ensure consistent performance.</w:t>
      </w:r>
    </w:p>
    <w:p>
      <w:pPr>
        <w:spacing w:after="90" w:line="264"/>
        <w:jc w:val="both"/>
      </w:pPr>
      <w:r>
        <w:rPr>
          <w:rFonts w:ascii="Calibri" w:cs="Calibri" w:eastAsia="Calibri" w:hAnsi="Calibri"/>
          <w:b/>
          <w:bCs/>
          <w:color w:val="14315B"/>
          <w:sz w:val="20"/>
          <w:szCs w:val="20"/>
        </w:rPr>
        <w:t xml:space="preserve">Hours Split:  </w:t>
      </w:r>
      <w:r>
        <w:rPr>
          <w:rFonts w:ascii="Calibri" w:cs="Calibri" w:eastAsia="Calibri" w:hAnsi="Calibri"/>
          <w:color w:val="22303F"/>
          <w:sz w:val="20"/>
          <w:szCs w:val="20"/>
        </w:rPr>
        <w:t xml:space="preserve">16 Hours Math / 8 Hours Reading &amp; Writing. This split prioritizes Math due to its consistently lower scores and the presence of critical foundational gaps in Advanced Math and Geometry.</w:t>
      </w:r>
    </w:p>
    <w:p>
      <w:pPr>
        <w:pBdr>
          <w:bottom w:val="single" w:color="C9A227" w:sz="14" w:space="6"/>
        </w:pBdr>
        <w:spacing w:after="140" w:before="320"/>
      </w:pPr>
      <w:r>
        <w:rPr>
          <w:rFonts w:ascii="Calibri" w:cs="Calibri" w:eastAsia="Calibri" w:hAnsi="Calibri"/>
          <w:b/>
          <w:bCs/>
          <w:color w:val="0B2545"/>
          <w:sz w:val="26"/>
          <w:szCs w:val="26"/>
        </w:rPr>
        <w:t xml:space="preserve">Week-by-Week Study Plan</w:t>
      </w:r>
    </w:p>
    <w:p>
      <w:pPr>
        <w:spacing w:after="40"/>
      </w:pPr>
    </w:p>
    <w:tbl>
      <w:tblPr>
        <w:tblW w:type="dxa" w:w="9600"/>
        <w:tblBorders>
          <w:top w:val="single" w:color="0B2545" w:sz="4"/>
          <w:left w:val="none"/>
          <w:bottom w:val="single" w:color="0B2545" w:sz="4"/>
          <w:right w:val="none"/>
          <w:insideH w:val="single" w:color="D9DEE7" w:sz="2"/>
          <w:insideV w:val="single" w:color="D9DEE7" w:sz="2"/>
        </w:tblBorders>
      </w:tblPr>
      <w:tblGrid>
        <w:gridCol w:w="1250"/>
        <w:gridCol w:w="2650"/>
        <w:gridCol w:w="5700"/>
      </w:tblGrid>
      <w:tr>
        <w:trPr>
          <w:tblHeader/>
        </w:trPr>
        <w:tc>
          <w:tcPr>
            <w:tcW w:type="dxa" w:w="1250"/>
            <w:shd w:fill="0B2545"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Week</w:t>
            </w:r>
          </w:p>
        </w:tc>
        <w:tc>
          <w:tcPr>
            <w:tcW w:type="dxa" w:w="2650"/>
            <w:shd w:fill="0B2545"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Focus</w:t>
            </w:r>
          </w:p>
        </w:tc>
        <w:tc>
          <w:tcPr>
            <w:tcW w:type="dxa" w:w="5700"/>
            <w:shd w:fill="0B2545"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Curriculum</w:t>
            </w:r>
          </w:p>
        </w:tc>
      </w:tr>
      <w:tr>
        <w:tc>
          <w:tcPr>
            <w:tcW w:type="dxa" w:w="125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1</w:t>
            </w:r>
          </w:p>
        </w:tc>
        <w:tc>
          <w:tcPr>
            <w:tcW w:type="dxa" w:w="2650"/>
            <w:shd w:fill="FFFFFF"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Foundational Geometry &amp; Grammar</w:t>
            </w:r>
          </w:p>
        </w:tc>
        <w:tc>
          <w:tcPr>
            <w:tcW w:type="dxa" w:w="570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Ch.15 Lines and Angles; Ch.26 Right Triangles</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Ch.6 Clauses; Ch.13 Possessive Nouns and Possessive Determiners</w:t>
            </w:r>
          </w:p>
        </w:tc>
      </w:tr>
      <w:tr>
        <w:tc>
          <w:tcPr>
            <w:tcW w:type="dxa" w:w="125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2</w:t>
            </w:r>
          </w:p>
        </w:tc>
        <w:tc>
          <w:tcPr>
            <w:tcW w:type="dxa" w:w="2650"/>
            <w:shd w:fill="EEF2F7"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Intermediate Geometry &amp; Subject-Verb Agreement</w:t>
            </w:r>
          </w:p>
        </w:tc>
        <w:tc>
          <w:tcPr>
            <w:tcW w:type="dxa" w:w="570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Ch.28 Area and Volume; Ch.29 Circles</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Ch.9 Subject-Verb Agreement / Collective Nouns</w:t>
            </w:r>
          </w:p>
        </w:tc>
      </w:tr>
      <w:tr>
        <w:tc>
          <w:tcPr>
            <w:tcW w:type="dxa" w:w="125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3</w:t>
            </w:r>
          </w:p>
        </w:tc>
        <w:tc>
          <w:tcPr>
            <w:tcW w:type="dxa" w:w="2650"/>
            <w:shd w:fill="FFFFFF"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Quadratic &amp; Polynomial Foundations</w:t>
            </w:r>
          </w:p>
        </w:tc>
        <w:tc>
          <w:tcPr>
            <w:tcW w:type="dxa" w:w="570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Ch.32 Quadratic Equations; Ch.35 Polynomials</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Ch.12 Words in Context</w:t>
            </w:r>
          </w:p>
        </w:tc>
      </w:tr>
      <w:tr>
        <w:tc>
          <w:tcPr>
            <w:tcW w:type="dxa" w:w="125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4</w:t>
            </w:r>
          </w:p>
        </w:tc>
        <w:tc>
          <w:tcPr>
            <w:tcW w:type="dxa" w:w="2650"/>
            <w:shd w:fill="EEF2F7"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Advanced Functions &amp; Punctuation Mastery</w:t>
            </w:r>
          </w:p>
        </w:tc>
        <w:tc>
          <w:tcPr>
            <w:tcW w:type="dxa" w:w="570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Ch.36 Graphs of Functions; Ch.37 Nonlinear Equations in Context</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Ch.21 Punctuation</w:t>
            </w:r>
          </w:p>
        </w:tc>
      </w:tr>
      <w:tr>
        <w:tc>
          <w:tcPr>
            <w:tcW w:type="dxa" w:w="125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5</w:t>
            </w:r>
          </w:p>
        </w:tc>
        <w:tc>
          <w:tcPr>
            <w:tcW w:type="dxa" w:w="2650"/>
            <w:shd w:fill="FFFFFF"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Data Analysis Basics &amp; Text Purpose</w:t>
            </w:r>
          </w:p>
        </w:tc>
        <w:tc>
          <w:tcPr>
            <w:tcW w:type="dxa" w:w="570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Ch.10 Ratios, Rates, and Proportions; Ch.12 Percentages</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Ch.16 Text Structure and Purpose</w:t>
            </w:r>
          </w:p>
        </w:tc>
      </w:tr>
      <w:tr>
        <w:tc>
          <w:tcPr>
            <w:tcW w:type="dxa" w:w="125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6</w:t>
            </w:r>
          </w:p>
        </w:tc>
        <w:tc>
          <w:tcPr>
            <w:tcW w:type="dxa" w:w="2650"/>
            <w:shd w:fill="EEF2F7"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Data Analysis &amp; RW Grammar Review</w:t>
            </w:r>
          </w:p>
        </w:tc>
        <w:tc>
          <w:tcPr>
            <w:tcW w:type="dxa" w:w="570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Ch.17 Measures of Center; Ch.23 Scatterplots</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Comprehensive review of Standard English Conventions, focusing on application in practice questions</w:t>
            </w:r>
          </w:p>
        </w:tc>
      </w:tr>
      <w:tr>
        <w:tc>
          <w:tcPr>
            <w:tcW w:type="dxa" w:w="125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7</w:t>
            </w:r>
          </w:p>
        </w:tc>
        <w:tc>
          <w:tcPr>
            <w:tcW w:type="dxa" w:w="2650"/>
            <w:shd w:fill="FFFFFF"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Timed Drills &amp; Strategy</w:t>
            </w:r>
          </w:p>
        </w:tc>
        <w:tc>
          <w:tcPr>
            <w:tcW w:type="dxa" w:w="5700"/>
            <w:shd w:fill="FFFFFF"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Timed practice on mixed problem sets from all covered categories, emphasizing error analysis and efficient problem-solving strategies</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Timed practice on full Reading and Writing sections, focusing on pacing, question types, and applying learned grammar and comprehension strategies</w:t>
            </w:r>
          </w:p>
        </w:tc>
      </w:tr>
      <w:tr>
        <w:tc>
          <w:tcPr>
            <w:tcW w:type="dxa" w:w="125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0B2545"/>
                <w:sz w:val="18"/>
                <w:szCs w:val="18"/>
              </w:rPr>
              <w:t xml:space="preserve">Week 8</w:t>
            </w:r>
          </w:p>
        </w:tc>
        <w:tc>
          <w:tcPr>
            <w:tcW w:type="dxa" w:w="2650"/>
            <w:shd w:fill="EEF2F7" w:color="auto" w:val="clear"/>
            <w:tcMar>
              <w:top w:type="dxa" w:w="80"/>
              <w:left w:type="dxa" w:w="130"/>
              <w:bottom w:type="dxa" w:w="80"/>
              <w:right w:type="dxa" w:w="130"/>
            </w:tcMar>
            <w:vAlign w:val="center"/>
          </w:tcPr>
          <w:p>
            <w:pPr>
              <w:spacing w:line="250"/>
            </w:pPr>
            <w:r>
              <w:rPr>
                <w:rFonts w:ascii="Calibri" w:cs="Calibri" w:eastAsia="Calibri" w:hAnsi="Calibri"/>
                <w:color w:val="22303F"/>
                <w:sz w:val="17"/>
                <w:szCs w:val="17"/>
              </w:rPr>
              <w:t xml:space="preserve">Full Practice Test Review</w:t>
            </w:r>
          </w:p>
        </w:tc>
        <w:tc>
          <w:tcPr>
            <w:tcW w:type="dxa" w:w="5700"/>
            <w:shd w:fill="EEF2F7" w:color="auto" w:val="clear"/>
            <w:tcMar>
              <w:top w:type="dxa" w:w="80"/>
              <w:left w:type="dxa" w:w="130"/>
              <w:bottom w:type="dxa" w:w="80"/>
              <w:right w:type="dxa" w:w="130"/>
            </w:tcMar>
            <w:vAlign w:val="center"/>
          </w:tcPr>
          <w:p>
            <w:pPr>
              <w:spacing w:line="250"/>
            </w:pPr>
            <w:r>
              <w:rPr>
                <w:rFonts w:ascii="Calibri" w:cs="Calibri" w:eastAsia="Calibri" w:hAnsi="Calibri"/>
                <w:b/>
                <w:bCs/>
                <w:color w:val="2E6BB8"/>
                <w:sz w:val="17"/>
                <w:szCs w:val="17"/>
              </w:rPr>
              <w:t xml:space="preserve">Math: </w:t>
            </w:r>
            <w:r>
              <w:rPr>
                <w:rFonts w:ascii="Calibri" w:cs="Calibri" w:eastAsia="Calibri" w:hAnsi="Calibri"/>
                <w:b w:val="false"/>
                <w:bCs w:val="false"/>
                <w:color w:val="22303F"/>
                <w:sz w:val="17"/>
                <w:szCs w:val="17"/>
              </w:rPr>
              <w:t xml:space="preserve">Detailed review of a full practice test, identifying remaining weak areas and reinforcing concepts</w:t>
            </w:r>
            <w:r>
              <w:br/>
            </w:r>
            <w:r>
              <w:rPr>
                <w:rFonts w:ascii="Calibri" w:cs="Calibri" w:eastAsia="Calibri" w:hAnsi="Calibri"/>
                <w:b/>
                <w:bCs/>
                <w:color w:val="C9A227"/>
                <w:sz w:val="17"/>
                <w:szCs w:val="17"/>
              </w:rPr>
              <w:t xml:space="preserve">RW: </w:t>
            </w:r>
            <w:r>
              <w:rPr>
                <w:rFonts w:ascii="Calibri" w:cs="Calibri" w:eastAsia="Calibri" w:hAnsi="Calibri"/>
                <w:b w:val="false"/>
                <w:bCs w:val="false"/>
                <w:color w:val="22303F"/>
                <w:sz w:val="17"/>
                <w:szCs w:val="17"/>
              </w:rPr>
              <w:t xml:space="preserve">Detailed review of a full practice test, analyzing incorrect answers and refining strategies for accuracy and speed</w:t>
            </w:r>
          </w:p>
        </w:tc>
      </w:tr>
    </w:tbl>
    <w:p>
      <w:pPr>
        <w:spacing w:after="160"/>
      </w:pPr>
    </w:p>
    <w:p>
      <w:pPr>
        <w:pBdr>
          <w:top w:val="single" w:color="C9A227" w:sz="6" w:space="8"/>
        </w:pBdr>
        <w:spacing w:before="120"/>
        <w:jc w:val="center"/>
      </w:pPr>
      <w:r>
        <w:rPr>
          <w:rFonts w:ascii="Calibri" w:cs="Calibri" w:eastAsia="Calibri" w:hAnsi="Calibri"/>
          <w:color w:val="5B6772"/>
          <w:spacing w:val="8"/>
          <w:sz w:val="15"/>
          <w:szCs w:val="15"/>
        </w:rPr>
        <w:t xml:space="preserve">Elite Prep  ·  SAT Analysis Report &amp; Improvement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rPr>
        <w:color w:val="2E6BB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45317d6e86aff3d30fe7c60bb976648465504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Prep | SAT Analysis Report &amp; Improvement Plan</dc:title>
  <dc:creator>Elite Prep</dc:creator>
  <cp:lastModifiedBy>Un-named</cp:lastModifiedBy>
  <cp:revision>1</cp:revision>
  <dcterms:created xsi:type="dcterms:W3CDTF">2026-07-09T20:06:19.918Z</dcterms:created>
  <dcterms:modified xsi:type="dcterms:W3CDTF">2026-07-09T20:06:19.929Z</dcterms:modified>
</cp:coreProperties>
</file>

<file path=docProps/custom.xml><?xml version="1.0" encoding="utf-8"?>
<Properties xmlns="http://schemas.openxmlformats.org/officeDocument/2006/custom-properties" xmlns:vt="http://schemas.openxmlformats.org/officeDocument/2006/docPropsVTypes"/>
</file>