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26"/>
        </w:rPr>
        <w:t>ELITE PREP</w:t>
      </w:r>
      <w:r>
        <w:rPr>
          <w:b w:val="0"/>
          <w:color w:val="595959"/>
          <w:sz w:val="20"/>
        </w:rPr>
        <w:t xml:space="preserve">   |   College Admissions &amp; Test Prep</w:t>
      </w:r>
    </w:p>
    <w:p/>
    <w:p>
      <w:pPr>
        <w:spacing w:after="60"/>
      </w:pPr>
      <w:r>
        <w:rPr>
          <w:b/>
          <w:i w:val="0"/>
          <w:color w:val="1F3864"/>
          <w:sz w:val="30"/>
        </w:rPr>
        <w:t>June 2026 DSAT Practice Test Results Analysis Report</w:t>
      </w:r>
    </w:p>
    <w:p>
      <w:pPr>
        <w:spacing w:after="200"/>
      </w:pPr>
      <w:r>
        <w:rPr>
          <w:b w:val="0"/>
          <w:i w:val="0"/>
          <w:color w:val="595959"/>
          <w:sz w:val="20"/>
        </w:rPr>
        <w:t>For Teachers   ·   Test Code DSAT-05-A   ·   Test Date: June 29, 2026</w:t>
      </w:r>
    </w:p>
    <w:p>
      <w:pPr>
        <w:spacing w:after="120"/>
      </w:pPr>
      <w:r>
        <w:rPr>
          <w:b/>
          <w:i w:val="0"/>
          <w:sz w:val="22"/>
        </w:rPr>
        <w:t>Dear Teachers,</w:t>
      </w:r>
    </w:p>
    <w:p>
      <w:pPr>
        <w:spacing w:after="120"/>
      </w:pPr>
      <w:r>
        <w:rPr>
          <w:b w:val="0"/>
          <w:i w:val="0"/>
          <w:sz w:val="22"/>
        </w:rPr>
        <w:t>Please find below an analysis of the class-wide results from the DSAT (Digital SAT) practice test administered at our academy on June 29. This report summarizes the overall performance of all students who took the test and highlights the questions and skill areas that warrant focused review in class. For each individual student's score, please refer to the personal Score Report provided separately.</w:t>
      </w:r>
    </w:p>
    <w:p>
      <w:pPr>
        <w:spacing w:after="160"/>
      </w:pPr>
      <w:r>
        <w:rPr>
          <w:b w:val="0"/>
          <w:sz w:val="22"/>
        </w:rPr>
        <w:t xml:space="preserve">A total of </w:t>
      </w:r>
      <w:r>
        <w:rPr>
          <w:b/>
          <w:sz w:val="22"/>
        </w:rPr>
        <w:t>6 students</w:t>
      </w:r>
      <w:r>
        <w:rPr>
          <w:b w:val="0"/>
          <w:sz w:val="22"/>
        </w:rPr>
        <w:t xml:space="preserve"> sat for this practice test. To protect each student's privacy, the analysis below is presented entirely as anonymized, aggregate statistics.</w:t>
      </w:r>
    </w:p>
    <w:p>
      <w:pPr>
        <w:pStyle w:val="Heading1"/>
        <w:spacing w:before="240" w:after="120"/>
      </w:pPr>
      <w:r>
        <w:rPr>
          <w:b/>
          <w:color w:val="2E75B6"/>
          <w:sz w:val="26"/>
        </w:rPr>
        <w:t>1.  Class Performance Overview</w:t>
      </w:r>
    </w:p>
    <w:p>
      <w:pPr>
        <w:spacing w:after="120"/>
      </w:pPr>
      <w:r>
        <w:rPr>
          <w:b w:val="0"/>
          <w:i w:val="0"/>
          <w:sz w:val="22"/>
        </w:rPr>
        <w:t>The class averages and score ranges for this test are as follows. (SAT total score scale: 400–1600)</w:t>
      </w:r>
    </w:p>
    <w:tbl>
      <w:tblPr>
        <w:tblStyle w:val="TableGrid"/>
        <w:tblW w:type="auto" w:w="0"/>
        <w:jc w:val="left"/>
        <w:tblLook w:firstColumn="1" w:firstRow="1" w:lastColumn="0" w:lastRow="0" w:noHBand="0" w:noVBand="1" w:val="04A0"/>
      </w:tblPr>
      <w:tblGrid>
        <w:gridCol w:w="2880"/>
        <w:gridCol w:w="2880"/>
        <w:gridCol w:w="2880"/>
      </w:tblGrid>
      <w:tr>
        <w:tc>
          <w:tcPr>
            <w:tcW w:type="dxa" w:w="3120"/>
            <w:shd w:val="clear" w:fill="DDEBF7"/>
          </w:tcPr>
          <w:p>
            <w:pPr>
              <w:spacing w:before="40" w:after="40"/>
              <w:jc w:val="center"/>
            </w:pPr>
            <w:r/>
            <w:r>
              <w:rPr>
                <w:b/>
                <w:color w:val="000000"/>
                <w:sz w:val="22"/>
              </w:rPr>
              <w:t>Category</w:t>
            </w:r>
          </w:p>
        </w:tc>
        <w:tc>
          <w:tcPr>
            <w:tcW w:type="dxa" w:w="3120"/>
            <w:shd w:val="clear" w:fill="DDEBF7"/>
          </w:tcPr>
          <w:p>
            <w:pPr>
              <w:spacing w:before="40" w:after="40"/>
              <w:jc w:val="center"/>
            </w:pPr>
            <w:r/>
            <w:r>
              <w:rPr>
                <w:b/>
                <w:color w:val="000000"/>
                <w:sz w:val="22"/>
              </w:rPr>
              <w:t>Class Average</w:t>
            </w:r>
          </w:p>
        </w:tc>
        <w:tc>
          <w:tcPr>
            <w:tcW w:type="dxa" w:w="3120"/>
            <w:shd w:val="clear" w:fill="DDEBF7"/>
          </w:tcPr>
          <w:p>
            <w:pPr>
              <w:spacing w:before="40" w:after="40"/>
              <w:jc w:val="center"/>
            </w:pPr>
            <w:r/>
            <w:r>
              <w:rPr>
                <w:b/>
                <w:color w:val="000000"/>
                <w:sz w:val="22"/>
              </w:rPr>
              <w:t>Score Range (Low–High)</w:t>
            </w:r>
          </w:p>
        </w:tc>
      </w:tr>
      <w:tr>
        <w:tc>
          <w:tcPr>
            <w:tcW w:type="dxa" w:w="3120"/>
            <w:shd w:val="clear" w:fill="F2F2F2"/>
          </w:tcPr>
          <w:p>
            <w:pPr>
              <w:spacing w:before="40" w:after="40"/>
              <w:jc w:val="left"/>
            </w:pPr>
            <w:r/>
            <w:r>
              <w:rPr>
                <w:b/>
                <w:color w:val="000000"/>
                <w:sz w:val="22"/>
              </w:rPr>
              <w:t>Total</w:t>
            </w:r>
          </w:p>
        </w:tc>
        <w:tc>
          <w:tcPr>
            <w:tcW w:type="dxa" w:w="3120"/>
          </w:tcPr>
          <w:p>
            <w:pPr>
              <w:spacing w:before="40" w:after="40"/>
              <w:jc w:val="center"/>
            </w:pPr>
            <w:r/>
            <w:r>
              <w:rPr>
                <w:b/>
                <w:color w:val="000000"/>
                <w:sz w:val="22"/>
              </w:rPr>
              <w:t>1147</w:t>
            </w:r>
          </w:p>
        </w:tc>
        <w:tc>
          <w:tcPr>
            <w:tcW w:type="dxa" w:w="3120"/>
          </w:tcPr>
          <w:p>
            <w:pPr>
              <w:spacing w:before="40" w:after="40"/>
              <w:jc w:val="center"/>
            </w:pPr>
            <w:r/>
            <w:r>
              <w:rPr>
                <w:b w:val="0"/>
                <w:color w:val="000000"/>
                <w:sz w:val="22"/>
              </w:rPr>
              <w:t>972 – 1400</w:t>
            </w:r>
          </w:p>
        </w:tc>
      </w:tr>
      <w:tr>
        <w:tc>
          <w:tcPr>
            <w:tcW w:type="dxa" w:w="3120"/>
          </w:tcPr>
          <w:p>
            <w:pPr>
              <w:spacing w:before="40" w:after="40"/>
              <w:jc w:val="left"/>
            </w:pPr>
            <w:r/>
            <w:r>
              <w:rPr>
                <w:b/>
                <w:color w:val="000000"/>
                <w:sz w:val="22"/>
              </w:rPr>
              <w:t>Reading &amp; Writing</w:t>
            </w:r>
          </w:p>
        </w:tc>
        <w:tc>
          <w:tcPr>
            <w:tcW w:type="dxa" w:w="3120"/>
          </w:tcPr>
          <w:p>
            <w:pPr>
              <w:spacing w:before="40" w:after="40"/>
              <w:jc w:val="center"/>
            </w:pPr>
            <w:r/>
            <w:r>
              <w:rPr>
                <w:b w:val="0"/>
                <w:color w:val="000000"/>
                <w:sz w:val="22"/>
              </w:rPr>
              <w:t>564</w:t>
            </w:r>
          </w:p>
        </w:tc>
        <w:tc>
          <w:tcPr>
            <w:tcW w:type="dxa" w:w="3120"/>
          </w:tcPr>
          <w:p>
            <w:pPr>
              <w:spacing w:before="40" w:after="40"/>
              <w:jc w:val="center"/>
            </w:pPr>
            <w:r/>
            <w:r>
              <w:rPr>
                <w:b w:val="0"/>
                <w:color w:val="000000"/>
                <w:sz w:val="22"/>
              </w:rPr>
              <w:t>452 – 698</w:t>
            </w:r>
          </w:p>
        </w:tc>
      </w:tr>
      <w:tr>
        <w:tc>
          <w:tcPr>
            <w:tcW w:type="dxa" w:w="3120"/>
          </w:tcPr>
          <w:p>
            <w:pPr>
              <w:spacing w:before="40" w:after="40"/>
              <w:jc w:val="left"/>
            </w:pPr>
            <w:r/>
            <w:r>
              <w:rPr>
                <w:b/>
                <w:color w:val="000000"/>
                <w:sz w:val="22"/>
              </w:rPr>
              <w:t>Math</w:t>
            </w:r>
          </w:p>
        </w:tc>
        <w:tc>
          <w:tcPr>
            <w:tcW w:type="dxa" w:w="3120"/>
          </w:tcPr>
          <w:p>
            <w:pPr>
              <w:spacing w:before="40" w:after="40"/>
              <w:jc w:val="center"/>
            </w:pPr>
            <w:r/>
            <w:r>
              <w:rPr>
                <w:b w:val="0"/>
                <w:color w:val="000000"/>
                <w:sz w:val="22"/>
              </w:rPr>
              <w:t>583</w:t>
            </w:r>
          </w:p>
        </w:tc>
        <w:tc>
          <w:tcPr>
            <w:tcW w:type="dxa" w:w="3120"/>
          </w:tcPr>
          <w:p>
            <w:pPr>
              <w:spacing w:before="40" w:after="40"/>
              <w:jc w:val="center"/>
            </w:pPr>
            <w:r/>
            <w:r>
              <w:rPr>
                <w:b w:val="0"/>
                <w:color w:val="000000"/>
                <w:sz w:val="22"/>
              </w:rPr>
              <w:t>445 – 721</w:t>
            </w:r>
          </w:p>
        </w:tc>
      </w:tr>
    </w:tbl>
    <w:p>
      <w:pPr>
        <w:spacing w:after="160" w:before="60"/>
      </w:pPr>
      <w:r>
        <w:rPr>
          <w:b w:val="0"/>
          <w:i/>
          <w:color w:val="595959"/>
          <w:sz w:val="21"/>
        </w:rPr>
        <w:t>→ On average, the Math section (avg 583) edged out Reading &amp; Writing (avg 564), but the wide spread between students—especially in Math (range 445–721)—means these figures are best read alongside each student's individual Score Report.</w:t>
      </w:r>
    </w:p>
    <w:p>
      <w:pPr>
        <w:pStyle w:val="Heading1"/>
        <w:spacing w:before="240" w:after="120"/>
      </w:pPr>
      <w:r>
        <w:rPr>
          <w:b/>
          <w:color w:val="2E75B6"/>
          <w:sz w:val="26"/>
        </w:rPr>
        <w:t>2.  Average Accuracy by Skill Area</w:t>
      </w:r>
    </w:p>
    <w:p>
      <w:pPr>
        <w:spacing w:after="120"/>
      </w:pPr>
      <w:r>
        <w:rPr>
          <w:b w:val="0"/>
          <w:i w:val="0"/>
          <w:sz w:val="22"/>
        </w:rPr>
        <w:t>Below are the class-wide average accuracy rates for the eight detailed skill areas of the SAT. Any area with an average accuracy below 50% is highlighted in red so that areas requiring focused improvement can be identified at a glance.</w:t>
      </w:r>
    </w:p>
    <w:tbl>
      <w:tblPr>
        <w:tblStyle w:val="TableGrid"/>
        <w:tblW w:type="auto" w:w="0"/>
        <w:jc w:val="left"/>
        <w:tblLook w:firstColumn="1" w:firstRow="1" w:lastColumn="0" w:lastRow="0" w:noHBand="0" w:noVBand="1" w:val="04A0"/>
      </w:tblPr>
      <w:tblGrid>
        <w:gridCol w:w="2880"/>
        <w:gridCol w:w="2880"/>
        <w:gridCol w:w="2880"/>
      </w:tblGrid>
      <w:tr>
        <w:tc>
          <w:tcPr>
            <w:tcW w:type="dxa" w:w="2700"/>
            <w:shd w:val="clear" w:fill="DDEBF7"/>
          </w:tcPr>
          <w:p>
            <w:pPr>
              <w:spacing w:before="40" w:after="40"/>
              <w:jc w:val="center"/>
            </w:pPr>
            <w:r/>
            <w:r>
              <w:rPr>
                <w:b/>
                <w:color w:val="000000"/>
                <w:sz w:val="22"/>
              </w:rPr>
              <w:t>Subject</w:t>
            </w:r>
          </w:p>
        </w:tc>
        <w:tc>
          <w:tcPr>
            <w:tcW w:type="dxa" w:w="4260"/>
            <w:shd w:val="clear" w:fill="DDEBF7"/>
          </w:tcPr>
          <w:p>
            <w:pPr>
              <w:spacing w:before="40" w:after="40"/>
              <w:jc w:val="center"/>
            </w:pPr>
            <w:r/>
            <w:r>
              <w:rPr>
                <w:b/>
                <w:color w:val="000000"/>
                <w:sz w:val="22"/>
              </w:rPr>
              <w:t>Skill Area</w:t>
            </w:r>
          </w:p>
        </w:tc>
        <w:tc>
          <w:tcPr>
            <w:tcW w:type="dxa" w:w="2400"/>
            <w:shd w:val="clear" w:fill="DDEBF7"/>
          </w:tcPr>
          <w:p>
            <w:pPr>
              <w:spacing w:before="40" w:after="40"/>
              <w:jc w:val="center"/>
            </w:pPr>
            <w:r/>
            <w:r>
              <w:rPr>
                <w:b/>
                <w:color w:val="000000"/>
                <w:sz w:val="22"/>
              </w:rPr>
              <w:t>Average Accuracy</w:t>
            </w:r>
          </w:p>
        </w:tc>
      </w:tr>
      <w:tr>
        <w:tc>
          <w:tcPr>
            <w:tcW w:type="dxa" w:w="2700"/>
            <w:shd w:val="clear" w:fill="F2F2F2"/>
          </w:tcPr>
          <w:p>
            <w:pPr>
              <w:spacing w:before="40" w:after="40"/>
              <w:jc w:val="center"/>
            </w:pPr>
            <w:r/>
            <w:r>
              <w:rPr>
                <w:b/>
                <w:color w:val="000000"/>
                <w:sz w:val="22"/>
              </w:rPr>
              <w:t>Reading &amp; Writing</w:t>
            </w:r>
          </w:p>
        </w:tc>
        <w:tc>
          <w:tcPr>
            <w:tcW w:type="dxa" w:w="4260"/>
          </w:tcPr>
          <w:p>
            <w:pPr>
              <w:spacing w:before="40" w:after="40"/>
              <w:jc w:val="left"/>
            </w:pPr>
            <w:r/>
            <w:r>
              <w:rPr>
                <w:b w:val="0"/>
                <w:color w:val="000000"/>
                <w:sz w:val="22"/>
              </w:rPr>
              <w:t>Craft and Structure</w:t>
            </w:r>
          </w:p>
        </w:tc>
        <w:tc>
          <w:tcPr>
            <w:tcW w:type="dxa" w:w="2400"/>
          </w:tcPr>
          <w:p>
            <w:pPr>
              <w:spacing w:before="40" w:after="40"/>
              <w:jc w:val="center"/>
            </w:pPr>
            <w:r/>
            <w:r>
              <w:rPr>
                <w:b w:val="0"/>
                <w:color w:val="000000"/>
                <w:sz w:val="22"/>
              </w:rPr>
              <w:t>65%</w:t>
            </w:r>
          </w:p>
        </w:tc>
      </w:tr>
      <w:tr>
        <w:tc>
          <w:tcPr>
            <w:tcW w:type="dxa" w:w="2700"/>
            <w:shd w:val="clear" w:fill="F2F2F2"/>
          </w:tcPr>
          <w:p>
            <w:pPr>
              <w:spacing w:before="40" w:after="40"/>
              <w:jc w:val="center"/>
            </w:pPr>
            <w:r/>
            <w:r>
              <w:rPr>
                <w:b/>
                <w:color w:val="000000"/>
                <w:sz w:val="22"/>
              </w:rPr>
              <w:t>Reading &amp; Writing</w:t>
            </w:r>
          </w:p>
        </w:tc>
        <w:tc>
          <w:tcPr>
            <w:tcW w:type="dxa" w:w="4260"/>
          </w:tcPr>
          <w:p>
            <w:pPr>
              <w:spacing w:before="40" w:after="40"/>
              <w:jc w:val="left"/>
            </w:pPr>
            <w:r/>
            <w:r>
              <w:rPr>
                <w:b w:val="0"/>
                <w:color w:val="000000"/>
                <w:sz w:val="22"/>
              </w:rPr>
              <w:t>Information and Ideas</w:t>
            </w:r>
          </w:p>
        </w:tc>
        <w:tc>
          <w:tcPr>
            <w:tcW w:type="dxa" w:w="2400"/>
          </w:tcPr>
          <w:p>
            <w:pPr>
              <w:spacing w:before="40" w:after="40"/>
              <w:jc w:val="center"/>
            </w:pPr>
            <w:r/>
            <w:r>
              <w:rPr>
                <w:b w:val="0"/>
                <w:color w:val="000000"/>
                <w:sz w:val="22"/>
              </w:rPr>
              <w:t>82%</w:t>
            </w:r>
          </w:p>
        </w:tc>
      </w:tr>
      <w:tr>
        <w:tc>
          <w:tcPr>
            <w:tcW w:type="dxa" w:w="2700"/>
            <w:shd w:val="clear" w:fill="F2F2F2"/>
          </w:tcPr>
          <w:p>
            <w:pPr>
              <w:spacing w:before="40" w:after="40"/>
              <w:jc w:val="center"/>
            </w:pPr>
            <w:r/>
            <w:r>
              <w:rPr>
                <w:b/>
                <w:color w:val="000000"/>
                <w:sz w:val="22"/>
              </w:rPr>
              <w:t>Reading &amp; Writing</w:t>
            </w:r>
          </w:p>
        </w:tc>
        <w:tc>
          <w:tcPr>
            <w:tcW w:type="dxa" w:w="4260"/>
          </w:tcPr>
          <w:p>
            <w:pPr>
              <w:spacing w:before="40" w:after="40"/>
              <w:jc w:val="left"/>
            </w:pPr>
            <w:r/>
            <w:r>
              <w:rPr>
                <w:b w:val="0"/>
                <w:color w:val="000000"/>
                <w:sz w:val="22"/>
              </w:rPr>
              <w:t>Standard English Conventions</w:t>
            </w:r>
          </w:p>
        </w:tc>
        <w:tc>
          <w:tcPr>
            <w:tcW w:type="dxa" w:w="2400"/>
          </w:tcPr>
          <w:p>
            <w:pPr>
              <w:spacing w:before="40" w:after="40"/>
              <w:jc w:val="center"/>
            </w:pPr>
            <w:r/>
            <w:r>
              <w:rPr>
                <w:b w:val="0"/>
                <w:color w:val="000000"/>
                <w:sz w:val="22"/>
              </w:rPr>
              <w:t>68%</w:t>
            </w:r>
          </w:p>
        </w:tc>
      </w:tr>
      <w:tr>
        <w:tc>
          <w:tcPr>
            <w:tcW w:type="dxa" w:w="2700"/>
            <w:shd w:val="clear" w:fill="F2F2F2"/>
          </w:tcPr>
          <w:p>
            <w:pPr>
              <w:spacing w:before="40" w:after="40"/>
              <w:jc w:val="center"/>
            </w:pPr>
            <w:r/>
            <w:r>
              <w:rPr>
                <w:b/>
                <w:color w:val="000000"/>
                <w:sz w:val="22"/>
              </w:rPr>
              <w:t>Reading &amp; Writing</w:t>
            </w:r>
          </w:p>
        </w:tc>
        <w:tc>
          <w:tcPr>
            <w:tcW w:type="dxa" w:w="4260"/>
          </w:tcPr>
          <w:p>
            <w:pPr>
              <w:spacing w:before="40" w:after="40"/>
              <w:jc w:val="left"/>
            </w:pPr>
            <w:r/>
            <w:r>
              <w:rPr>
                <w:b w:val="0"/>
                <w:color w:val="000000"/>
                <w:sz w:val="22"/>
              </w:rPr>
              <w:t>Expression of Ideas</w:t>
            </w:r>
          </w:p>
        </w:tc>
        <w:tc>
          <w:tcPr>
            <w:tcW w:type="dxa" w:w="2400"/>
          </w:tcPr>
          <w:p>
            <w:pPr>
              <w:spacing w:before="40" w:after="40"/>
              <w:jc w:val="center"/>
            </w:pPr>
            <w:r/>
            <w:r>
              <w:rPr>
                <w:b w:val="0"/>
                <w:color w:val="000000"/>
                <w:sz w:val="22"/>
              </w:rPr>
              <w:t>61%</w:t>
            </w:r>
          </w:p>
        </w:tc>
      </w:tr>
      <w:tr>
        <w:tc>
          <w:tcPr>
            <w:tcW w:type="dxa" w:w="2700"/>
            <w:shd w:val="clear" w:fill="F2F2F2"/>
          </w:tcPr>
          <w:p>
            <w:pPr>
              <w:spacing w:before="40" w:after="40"/>
              <w:jc w:val="center"/>
            </w:pPr>
            <w:r/>
            <w:r>
              <w:rPr>
                <w:b/>
                <w:color w:val="000000"/>
                <w:sz w:val="22"/>
              </w:rPr>
              <w:t>Math</w:t>
            </w:r>
          </w:p>
        </w:tc>
        <w:tc>
          <w:tcPr>
            <w:tcW w:type="dxa" w:w="4260"/>
          </w:tcPr>
          <w:p>
            <w:pPr>
              <w:spacing w:before="40" w:after="40"/>
              <w:jc w:val="left"/>
            </w:pPr>
            <w:r/>
            <w:r>
              <w:rPr>
                <w:b w:val="0"/>
                <w:color w:val="000000"/>
                <w:sz w:val="22"/>
              </w:rPr>
              <w:t>Algebra</w:t>
            </w:r>
          </w:p>
        </w:tc>
        <w:tc>
          <w:tcPr>
            <w:tcW w:type="dxa" w:w="2400"/>
          </w:tcPr>
          <w:p>
            <w:pPr>
              <w:spacing w:before="40" w:after="40"/>
              <w:jc w:val="center"/>
            </w:pPr>
            <w:r/>
            <w:r>
              <w:rPr>
                <w:b w:val="0"/>
                <w:color w:val="000000"/>
                <w:sz w:val="22"/>
              </w:rPr>
              <w:t>68%</w:t>
            </w:r>
          </w:p>
        </w:tc>
      </w:tr>
      <w:tr>
        <w:tc>
          <w:tcPr>
            <w:tcW w:type="dxa" w:w="2700"/>
            <w:shd w:val="clear" w:fill="F2F2F2"/>
          </w:tcPr>
          <w:p>
            <w:pPr>
              <w:spacing w:before="40" w:after="40"/>
              <w:jc w:val="center"/>
            </w:pPr>
            <w:r/>
            <w:r>
              <w:rPr>
                <w:b/>
                <w:color w:val="000000"/>
                <w:sz w:val="22"/>
              </w:rPr>
              <w:t>Math</w:t>
            </w:r>
          </w:p>
        </w:tc>
        <w:tc>
          <w:tcPr>
            <w:tcW w:type="dxa" w:w="4260"/>
          </w:tcPr>
          <w:p>
            <w:pPr>
              <w:spacing w:before="40" w:after="40"/>
              <w:jc w:val="left"/>
            </w:pPr>
            <w:r/>
            <w:r>
              <w:rPr>
                <w:b w:val="0"/>
                <w:color w:val="000000"/>
                <w:sz w:val="22"/>
              </w:rPr>
              <w:t>Advanced Math</w:t>
            </w:r>
          </w:p>
        </w:tc>
        <w:tc>
          <w:tcPr>
            <w:tcW w:type="dxa" w:w="2400"/>
          </w:tcPr>
          <w:p>
            <w:pPr>
              <w:spacing w:before="40" w:after="40"/>
              <w:jc w:val="center"/>
            </w:pPr>
            <w:r/>
            <w:r>
              <w:rPr>
                <w:b w:val="0"/>
                <w:color w:val="000000"/>
                <w:sz w:val="22"/>
              </w:rPr>
              <w:t>64%</w:t>
            </w:r>
          </w:p>
        </w:tc>
      </w:tr>
      <w:tr>
        <w:tc>
          <w:tcPr>
            <w:tcW w:type="dxa" w:w="2700"/>
            <w:shd w:val="clear" w:fill="F2F2F2"/>
          </w:tcPr>
          <w:p>
            <w:pPr>
              <w:spacing w:before="40" w:after="40"/>
              <w:jc w:val="center"/>
            </w:pPr>
            <w:r/>
            <w:r>
              <w:rPr>
                <w:b/>
                <w:color w:val="000000"/>
                <w:sz w:val="22"/>
              </w:rPr>
              <w:t>Math</w:t>
            </w:r>
          </w:p>
        </w:tc>
        <w:tc>
          <w:tcPr>
            <w:tcW w:type="dxa" w:w="4260"/>
          </w:tcPr>
          <w:p>
            <w:pPr>
              <w:spacing w:before="40" w:after="40"/>
              <w:jc w:val="left"/>
            </w:pPr>
            <w:r/>
            <w:r>
              <w:rPr>
                <w:b w:val="0"/>
                <w:color w:val="000000"/>
                <w:sz w:val="22"/>
              </w:rPr>
              <w:t>Problem-Solving and Data Analysis</w:t>
            </w:r>
          </w:p>
        </w:tc>
        <w:tc>
          <w:tcPr>
            <w:tcW w:type="dxa" w:w="2400"/>
          </w:tcPr>
          <w:p>
            <w:pPr>
              <w:spacing w:before="40" w:after="40"/>
              <w:jc w:val="center"/>
            </w:pPr>
            <w:r/>
            <w:r>
              <w:rPr>
                <w:b w:val="0"/>
                <w:color w:val="000000"/>
                <w:sz w:val="22"/>
              </w:rPr>
              <w:t>63%</w:t>
            </w:r>
          </w:p>
        </w:tc>
      </w:tr>
      <w:tr>
        <w:tc>
          <w:tcPr>
            <w:tcW w:type="dxa" w:w="2700"/>
            <w:shd w:val="clear" w:fill="F2F2F2"/>
          </w:tcPr>
          <w:p>
            <w:pPr>
              <w:spacing w:before="40" w:after="40"/>
              <w:jc w:val="center"/>
            </w:pPr>
            <w:r/>
            <w:r>
              <w:rPr>
                <w:b/>
                <w:color w:val="000000"/>
                <w:sz w:val="22"/>
              </w:rPr>
              <w:t>Math</w:t>
            </w:r>
          </w:p>
        </w:tc>
        <w:tc>
          <w:tcPr>
            <w:tcW w:type="dxa" w:w="4260"/>
          </w:tcPr>
          <w:p>
            <w:pPr>
              <w:spacing w:before="40" w:after="40"/>
              <w:jc w:val="left"/>
            </w:pPr>
            <w:r/>
            <w:r>
              <w:rPr>
                <w:b w:val="0"/>
                <w:color w:val="000000"/>
                <w:sz w:val="22"/>
              </w:rPr>
              <w:t>Geometry and Trigonometry</w:t>
            </w:r>
          </w:p>
        </w:tc>
        <w:tc>
          <w:tcPr>
            <w:tcW w:type="dxa" w:w="2400"/>
          </w:tcPr>
          <w:p>
            <w:pPr>
              <w:spacing w:before="40" w:after="40"/>
              <w:jc w:val="center"/>
            </w:pPr>
            <w:r/>
            <w:r>
              <w:rPr>
                <w:b w:val="0"/>
                <w:color w:val="000000"/>
                <w:sz w:val="22"/>
              </w:rPr>
              <w:t>75%</w:t>
            </w:r>
          </w:p>
        </w:tc>
      </w:tr>
    </w:tbl>
    <w:p>
      <w:pPr>
        <w:spacing w:after="160" w:before="60"/>
      </w:pPr>
      <w:r>
        <w:rPr>
          <w:b w:val="0"/>
          <w:i/>
          <w:color w:val="595959"/>
          <w:sz w:val="21"/>
        </w:rPr>
        <w:t>→ No skill area fell below 50% this cycle. The relatively weaker areas were Expression of Ideas (61%), Problem-Solving and Data Analysis (63%), and Advanced Math (64%); Information and Ideas (82%) was the clear strength. Supplementary instruction will target the weaker areas during class.</w:t>
      </w:r>
    </w:p>
    <w:p>
      <w:pPr>
        <w:pStyle w:val="Heading1"/>
        <w:spacing w:before="240" w:after="120"/>
      </w:pPr>
      <w:r>
        <w:rPr>
          <w:b/>
          <w:color w:val="2E75B6"/>
          <w:sz w:val="26"/>
        </w:rPr>
        <w:t>3.  Priority Review Questions by Section</w:t>
      </w:r>
    </w:p>
    <w:p>
      <w:pPr>
        <w:spacing w:after="120"/>
      </w:pPr>
      <w:r>
        <w:rPr>
          <w:b w:val="0"/>
          <w:i w:val="0"/>
          <w:sz w:val="22"/>
        </w:rPr>
        <w:t>For each section, the questions students most frequently answered incorrectly are listed in order of error rate. These will be prioritized for review and concept reinforcement in class. (Questions with an error rate of 60% or higher are marked in red.)</w:t>
      </w:r>
    </w:p>
    <w:p>
      <w:pPr>
        <w:pStyle w:val="Heading2"/>
        <w:spacing w:before="160" w:after="80"/>
      </w:pPr>
      <w:r>
        <w:rPr>
          <w:b/>
          <w:color w:val="1F3864"/>
          <w:sz w:val="23"/>
        </w:rPr>
        <w:t>①  Math — Section 1 (Module 1)</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DDEBF7"/>
          </w:tcPr>
          <w:p>
            <w:pPr>
              <w:spacing w:before="40" w:after="40"/>
              <w:jc w:val="center"/>
            </w:pPr>
            <w:r/>
            <w:r>
              <w:rPr>
                <w:b/>
                <w:color w:val="000000"/>
                <w:sz w:val="22"/>
              </w:rPr>
              <w:t>Error Rate</w:t>
            </w:r>
          </w:p>
        </w:tc>
        <w:tc>
          <w:tcPr>
            <w:tcW w:type="dxa" w:w="2400"/>
            <w:shd w:val="clear" w:fill="DDEBF7"/>
          </w:tcPr>
          <w:p>
            <w:pPr>
              <w:spacing w:before="40" w:after="40"/>
              <w:jc w:val="center"/>
            </w:pPr>
            <w:r/>
            <w:r>
              <w:rPr>
                <w:b/>
                <w:color w:val="000000"/>
                <w:sz w:val="22"/>
              </w:rPr>
              <w:t>Students Missed</w:t>
            </w:r>
          </w:p>
        </w:tc>
        <w:tc>
          <w:tcPr>
            <w:tcW w:type="dxa" w:w="4800"/>
            <w:shd w:val="clear" w:fill="DDEBF7"/>
          </w:tcPr>
          <w:p>
            <w:pPr>
              <w:spacing w:before="40" w:after="40"/>
              <w:jc w:val="center"/>
            </w:pPr>
            <w:r/>
            <w:r>
              <w:rPr>
                <w:b/>
                <w:color w:val="000000"/>
                <w:sz w:val="22"/>
              </w:rPr>
              <w:t>Questions</w:t>
            </w:r>
          </w:p>
        </w:tc>
      </w:tr>
      <w:tr>
        <w:tc>
          <w:tcPr>
            <w:tcW w:type="dxa" w:w="2160"/>
          </w:tcPr>
          <w:p>
            <w:pPr>
              <w:spacing w:before="40" w:after="40"/>
              <w:jc w:val="center"/>
            </w:pPr>
            <w:r/>
            <w:r>
              <w:rPr>
                <w:b/>
                <w:color w:val="C00000"/>
                <w:sz w:val="22"/>
              </w:rPr>
              <w:t>83%</w:t>
            </w:r>
          </w:p>
        </w:tc>
        <w:tc>
          <w:tcPr>
            <w:tcW w:type="dxa" w:w="2400"/>
          </w:tcPr>
          <w:p>
            <w:pPr>
              <w:spacing w:before="40" w:after="40"/>
              <w:jc w:val="center"/>
            </w:pPr>
            <w:r/>
            <w:r>
              <w:rPr>
                <w:b/>
                <w:color w:val="C00000"/>
                <w:sz w:val="22"/>
              </w:rPr>
              <w:t>5 of 6</w:t>
            </w:r>
          </w:p>
        </w:tc>
        <w:tc>
          <w:tcPr>
            <w:tcW w:type="dxa" w:w="4800"/>
          </w:tcPr>
          <w:p>
            <w:pPr>
              <w:spacing w:before="40" w:after="40"/>
              <w:jc w:val="left"/>
            </w:pPr>
            <w:r/>
            <w:r>
              <w:rPr>
                <w:b/>
                <w:color w:val="C00000"/>
                <w:sz w:val="22"/>
              </w:rPr>
              <w:t>Q15, Q22</w:t>
            </w:r>
          </w:p>
        </w:tc>
      </w:tr>
      <w:tr>
        <w:tc>
          <w:tcPr>
            <w:tcW w:type="dxa" w:w="2160"/>
          </w:tcPr>
          <w:p>
            <w:pPr>
              <w:spacing w:before="40" w:after="40"/>
              <w:jc w:val="center"/>
            </w:pPr>
            <w:r/>
            <w:r>
              <w:rPr>
                <w:b/>
                <w:color w:val="C00000"/>
                <w:sz w:val="22"/>
              </w:rPr>
              <w:t>67%</w:t>
            </w:r>
          </w:p>
        </w:tc>
        <w:tc>
          <w:tcPr>
            <w:tcW w:type="dxa" w:w="2400"/>
          </w:tcPr>
          <w:p>
            <w:pPr>
              <w:spacing w:before="40" w:after="40"/>
              <w:jc w:val="center"/>
            </w:pPr>
            <w:r/>
            <w:r>
              <w:rPr>
                <w:b/>
                <w:color w:val="C00000"/>
                <w:sz w:val="22"/>
              </w:rPr>
              <w:t>4 of 6</w:t>
            </w:r>
          </w:p>
        </w:tc>
        <w:tc>
          <w:tcPr>
            <w:tcW w:type="dxa" w:w="4800"/>
          </w:tcPr>
          <w:p>
            <w:pPr>
              <w:spacing w:before="40" w:after="40"/>
              <w:jc w:val="left"/>
            </w:pPr>
            <w:r/>
            <w:r>
              <w:rPr>
                <w:b/>
                <w:color w:val="C00000"/>
                <w:sz w:val="22"/>
              </w:rPr>
              <w:t>Q8, Q10</w:t>
            </w:r>
          </w:p>
        </w:tc>
      </w:tr>
      <w:tr>
        <w:tc>
          <w:tcPr>
            <w:tcW w:type="dxa" w:w="2160"/>
          </w:tcPr>
          <w:p>
            <w:pPr>
              <w:spacing w:before="40" w:after="40"/>
              <w:jc w:val="center"/>
            </w:pPr>
            <w:r/>
            <w:r>
              <w:rPr>
                <w:b w:val="0"/>
                <w:color w:val="000000"/>
                <w:sz w:val="22"/>
              </w:rPr>
              <w:t>50%</w:t>
            </w:r>
          </w:p>
        </w:tc>
        <w:tc>
          <w:tcPr>
            <w:tcW w:type="dxa" w:w="2400"/>
          </w:tcPr>
          <w:p>
            <w:pPr>
              <w:spacing w:before="40" w:after="40"/>
              <w:jc w:val="center"/>
            </w:pPr>
            <w:r/>
            <w:r>
              <w:rPr>
                <w:b w:val="0"/>
                <w:color w:val="000000"/>
                <w:sz w:val="22"/>
              </w:rPr>
              <w:t>3 of 6</w:t>
            </w:r>
          </w:p>
        </w:tc>
        <w:tc>
          <w:tcPr>
            <w:tcW w:type="dxa" w:w="4800"/>
          </w:tcPr>
          <w:p>
            <w:pPr>
              <w:spacing w:before="40" w:after="40"/>
              <w:jc w:val="left"/>
            </w:pPr>
            <w:r/>
            <w:r>
              <w:rPr>
                <w:b w:val="0"/>
                <w:color w:val="000000"/>
                <w:sz w:val="22"/>
              </w:rPr>
              <w:t>Q3, Q14</w:t>
            </w:r>
          </w:p>
        </w:tc>
      </w:tr>
      <w:tr>
        <w:tc>
          <w:tcPr>
            <w:tcW w:type="dxa" w:w="2160"/>
          </w:tcPr>
          <w:p>
            <w:pPr>
              <w:spacing w:before="40" w:after="40"/>
              <w:jc w:val="center"/>
            </w:pPr>
            <w:r/>
            <w:r>
              <w:rPr>
                <w:b w:val="0"/>
                <w:color w:val="000000"/>
                <w:sz w:val="22"/>
              </w:rPr>
              <w:t>33%</w:t>
            </w:r>
          </w:p>
        </w:tc>
        <w:tc>
          <w:tcPr>
            <w:tcW w:type="dxa" w:w="2400"/>
          </w:tcPr>
          <w:p>
            <w:pPr>
              <w:spacing w:before="40" w:after="40"/>
              <w:jc w:val="center"/>
            </w:pPr>
            <w:r/>
            <w:r>
              <w:rPr>
                <w:b w:val="0"/>
                <w:color w:val="000000"/>
                <w:sz w:val="22"/>
              </w:rPr>
              <w:t>2 of 6</w:t>
            </w:r>
          </w:p>
        </w:tc>
        <w:tc>
          <w:tcPr>
            <w:tcW w:type="dxa" w:w="4800"/>
          </w:tcPr>
          <w:p>
            <w:pPr>
              <w:spacing w:before="40" w:after="40"/>
              <w:jc w:val="left"/>
            </w:pPr>
            <w:r/>
            <w:r>
              <w:rPr>
                <w:b w:val="0"/>
                <w:color w:val="000000"/>
                <w:sz w:val="22"/>
              </w:rPr>
              <w:t>Q6, Q7, Q16, Q19</w:t>
            </w:r>
          </w:p>
        </w:tc>
      </w:tr>
      <w:tr>
        <w:tc>
          <w:tcPr>
            <w:tcW w:type="dxa" w:w="2160"/>
          </w:tcPr>
          <w:p>
            <w:pPr>
              <w:spacing w:before="40" w:after="40"/>
              <w:jc w:val="center"/>
            </w:pPr>
            <w:r/>
            <w:r>
              <w:rPr>
                <w:b w:val="0"/>
                <w:color w:val="000000"/>
                <w:sz w:val="22"/>
              </w:rPr>
              <w:t>17%</w:t>
            </w:r>
          </w:p>
        </w:tc>
        <w:tc>
          <w:tcPr>
            <w:tcW w:type="dxa" w:w="2400"/>
          </w:tcPr>
          <w:p>
            <w:pPr>
              <w:spacing w:before="40" w:after="40"/>
              <w:jc w:val="center"/>
            </w:pPr>
            <w:r/>
            <w:r>
              <w:rPr>
                <w:b w:val="0"/>
                <w:color w:val="000000"/>
                <w:sz w:val="22"/>
              </w:rPr>
              <w:t>1 of 6</w:t>
            </w:r>
          </w:p>
        </w:tc>
        <w:tc>
          <w:tcPr>
            <w:tcW w:type="dxa" w:w="4800"/>
          </w:tcPr>
          <w:p>
            <w:pPr>
              <w:spacing w:before="40" w:after="40"/>
              <w:jc w:val="left"/>
            </w:pPr>
            <w:r/>
            <w:r>
              <w:rPr>
                <w:b w:val="0"/>
                <w:color w:val="000000"/>
                <w:sz w:val="22"/>
              </w:rPr>
              <w:t>Q1, Q2, Q4, Q11, Q12, Q13, Q17, Q20, Q21</w:t>
            </w:r>
          </w:p>
        </w:tc>
      </w:tr>
    </w:tbl>
    <w:p>
      <w:pPr>
        <w:spacing w:after="160" w:before="60"/>
      </w:pPr>
      <w:r>
        <w:rPr>
          <w:b w:val="0"/>
          <w:i/>
          <w:color w:val="595959"/>
          <w:sz w:val="21"/>
        </w:rPr>
        <w:t>→ Q8 and Q10 carried the highest error rates here (5 and 4 of 6 missed, respectively).</w:t>
      </w:r>
    </w:p>
    <w:p>
      <w:pPr>
        <w:pStyle w:val="Heading2"/>
        <w:spacing w:before="160" w:after="80"/>
      </w:pPr>
      <w:r>
        <w:rPr>
          <w:b/>
          <w:color w:val="1F3864"/>
          <w:sz w:val="23"/>
        </w:rPr>
        <w:t>②  Math — Section 2 (Module 2)</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DDEBF7"/>
          </w:tcPr>
          <w:p>
            <w:pPr>
              <w:spacing w:before="40" w:after="40"/>
              <w:jc w:val="center"/>
            </w:pPr>
            <w:r/>
            <w:r>
              <w:rPr>
                <w:b/>
                <w:color w:val="000000"/>
                <w:sz w:val="22"/>
              </w:rPr>
              <w:t>Error Rate</w:t>
            </w:r>
          </w:p>
        </w:tc>
        <w:tc>
          <w:tcPr>
            <w:tcW w:type="dxa" w:w="2400"/>
            <w:shd w:val="clear" w:fill="DDEBF7"/>
          </w:tcPr>
          <w:p>
            <w:pPr>
              <w:spacing w:before="40" w:after="40"/>
              <w:jc w:val="center"/>
            </w:pPr>
            <w:r/>
            <w:r>
              <w:rPr>
                <w:b/>
                <w:color w:val="000000"/>
                <w:sz w:val="22"/>
              </w:rPr>
              <w:t>Students Missed</w:t>
            </w:r>
          </w:p>
        </w:tc>
        <w:tc>
          <w:tcPr>
            <w:tcW w:type="dxa" w:w="4800"/>
            <w:shd w:val="clear" w:fill="DDEBF7"/>
          </w:tcPr>
          <w:p>
            <w:pPr>
              <w:spacing w:before="40" w:after="40"/>
              <w:jc w:val="center"/>
            </w:pPr>
            <w:r/>
            <w:r>
              <w:rPr>
                <w:b/>
                <w:color w:val="000000"/>
                <w:sz w:val="22"/>
              </w:rPr>
              <w:t>Questions</w:t>
            </w:r>
          </w:p>
        </w:tc>
      </w:tr>
      <w:tr>
        <w:tc>
          <w:tcPr>
            <w:tcW w:type="dxa" w:w="2160"/>
          </w:tcPr>
          <w:p>
            <w:pPr>
              <w:spacing w:before="40" w:after="40"/>
              <w:jc w:val="center"/>
            </w:pPr>
            <w:r/>
            <w:r>
              <w:rPr>
                <w:b/>
                <w:color w:val="C00000"/>
                <w:sz w:val="22"/>
              </w:rPr>
              <w:t>100%</w:t>
            </w:r>
          </w:p>
        </w:tc>
        <w:tc>
          <w:tcPr>
            <w:tcW w:type="dxa" w:w="2400"/>
          </w:tcPr>
          <w:p>
            <w:pPr>
              <w:spacing w:before="40" w:after="40"/>
              <w:jc w:val="center"/>
            </w:pPr>
            <w:r/>
            <w:r>
              <w:rPr>
                <w:b/>
                <w:color w:val="C00000"/>
                <w:sz w:val="22"/>
              </w:rPr>
              <w:t>6 of 6</w:t>
            </w:r>
          </w:p>
        </w:tc>
        <w:tc>
          <w:tcPr>
            <w:tcW w:type="dxa" w:w="4800"/>
          </w:tcPr>
          <w:p>
            <w:pPr>
              <w:spacing w:before="40" w:after="40"/>
              <w:jc w:val="left"/>
            </w:pPr>
            <w:r/>
            <w:r>
              <w:rPr>
                <w:b/>
                <w:color w:val="C00000"/>
                <w:sz w:val="22"/>
              </w:rPr>
              <w:t>Q9</w:t>
            </w:r>
          </w:p>
        </w:tc>
      </w:tr>
      <w:tr>
        <w:tc>
          <w:tcPr>
            <w:tcW w:type="dxa" w:w="2160"/>
          </w:tcPr>
          <w:p>
            <w:pPr>
              <w:spacing w:before="40" w:after="40"/>
              <w:jc w:val="center"/>
            </w:pPr>
            <w:r/>
            <w:r>
              <w:rPr>
                <w:b/>
                <w:color w:val="C00000"/>
                <w:sz w:val="22"/>
              </w:rPr>
              <w:t>83%</w:t>
            </w:r>
          </w:p>
        </w:tc>
        <w:tc>
          <w:tcPr>
            <w:tcW w:type="dxa" w:w="2400"/>
          </w:tcPr>
          <w:p>
            <w:pPr>
              <w:spacing w:before="40" w:after="40"/>
              <w:jc w:val="center"/>
            </w:pPr>
            <w:r/>
            <w:r>
              <w:rPr>
                <w:b/>
                <w:color w:val="C00000"/>
                <w:sz w:val="22"/>
              </w:rPr>
              <w:t>5 of 6</w:t>
            </w:r>
          </w:p>
        </w:tc>
        <w:tc>
          <w:tcPr>
            <w:tcW w:type="dxa" w:w="4800"/>
          </w:tcPr>
          <w:p>
            <w:pPr>
              <w:spacing w:before="40" w:after="40"/>
              <w:jc w:val="left"/>
            </w:pPr>
            <w:r/>
            <w:r>
              <w:rPr>
                <w:b/>
                <w:color w:val="C00000"/>
                <w:sz w:val="22"/>
              </w:rPr>
              <w:t>Q21</w:t>
            </w:r>
          </w:p>
        </w:tc>
      </w:tr>
      <w:tr>
        <w:tc>
          <w:tcPr>
            <w:tcW w:type="dxa" w:w="2160"/>
          </w:tcPr>
          <w:p>
            <w:pPr>
              <w:spacing w:before="40" w:after="40"/>
              <w:jc w:val="center"/>
            </w:pPr>
            <w:r/>
            <w:r>
              <w:rPr>
                <w:b/>
                <w:color w:val="C00000"/>
                <w:sz w:val="22"/>
              </w:rPr>
              <w:t>67%</w:t>
            </w:r>
          </w:p>
        </w:tc>
        <w:tc>
          <w:tcPr>
            <w:tcW w:type="dxa" w:w="2400"/>
          </w:tcPr>
          <w:p>
            <w:pPr>
              <w:spacing w:before="40" w:after="40"/>
              <w:jc w:val="center"/>
            </w:pPr>
            <w:r/>
            <w:r>
              <w:rPr>
                <w:b/>
                <w:color w:val="C00000"/>
                <w:sz w:val="22"/>
              </w:rPr>
              <w:t>4 of 6</w:t>
            </w:r>
          </w:p>
        </w:tc>
        <w:tc>
          <w:tcPr>
            <w:tcW w:type="dxa" w:w="4800"/>
          </w:tcPr>
          <w:p>
            <w:pPr>
              <w:spacing w:before="40" w:after="40"/>
              <w:jc w:val="left"/>
            </w:pPr>
            <w:r/>
            <w:r>
              <w:rPr>
                <w:b/>
                <w:color w:val="C00000"/>
                <w:sz w:val="22"/>
              </w:rPr>
              <w:t>Q13, Q20</w:t>
            </w:r>
          </w:p>
        </w:tc>
      </w:tr>
      <w:tr>
        <w:tc>
          <w:tcPr>
            <w:tcW w:type="dxa" w:w="2160"/>
          </w:tcPr>
          <w:p>
            <w:pPr>
              <w:spacing w:before="40" w:after="40"/>
              <w:jc w:val="center"/>
            </w:pPr>
            <w:r/>
            <w:r>
              <w:rPr>
                <w:b w:val="0"/>
                <w:color w:val="000000"/>
                <w:sz w:val="22"/>
              </w:rPr>
              <w:t>50%</w:t>
            </w:r>
          </w:p>
        </w:tc>
        <w:tc>
          <w:tcPr>
            <w:tcW w:type="dxa" w:w="2400"/>
          </w:tcPr>
          <w:p>
            <w:pPr>
              <w:spacing w:before="40" w:after="40"/>
              <w:jc w:val="center"/>
            </w:pPr>
            <w:r/>
            <w:r>
              <w:rPr>
                <w:b w:val="0"/>
                <w:color w:val="000000"/>
                <w:sz w:val="22"/>
              </w:rPr>
              <w:t>3 of 6</w:t>
            </w:r>
          </w:p>
        </w:tc>
        <w:tc>
          <w:tcPr>
            <w:tcW w:type="dxa" w:w="4800"/>
          </w:tcPr>
          <w:p>
            <w:pPr>
              <w:spacing w:before="40" w:after="40"/>
              <w:jc w:val="left"/>
            </w:pPr>
            <w:r/>
            <w:r>
              <w:rPr>
                <w:b w:val="0"/>
                <w:color w:val="000000"/>
                <w:sz w:val="22"/>
              </w:rPr>
              <w:t>Q6, Q15, Q18</w:t>
            </w:r>
          </w:p>
        </w:tc>
      </w:tr>
      <w:tr>
        <w:tc>
          <w:tcPr>
            <w:tcW w:type="dxa" w:w="2160"/>
          </w:tcPr>
          <w:p>
            <w:pPr>
              <w:spacing w:before="40" w:after="40"/>
              <w:jc w:val="center"/>
            </w:pPr>
            <w:r/>
            <w:r>
              <w:rPr>
                <w:b w:val="0"/>
                <w:color w:val="000000"/>
                <w:sz w:val="22"/>
              </w:rPr>
              <w:t>33%</w:t>
            </w:r>
          </w:p>
        </w:tc>
        <w:tc>
          <w:tcPr>
            <w:tcW w:type="dxa" w:w="2400"/>
          </w:tcPr>
          <w:p>
            <w:pPr>
              <w:spacing w:before="40" w:after="40"/>
              <w:jc w:val="center"/>
            </w:pPr>
            <w:r/>
            <w:r>
              <w:rPr>
                <w:b w:val="0"/>
                <w:color w:val="000000"/>
                <w:sz w:val="22"/>
              </w:rPr>
              <w:t>2 of 6</w:t>
            </w:r>
          </w:p>
        </w:tc>
        <w:tc>
          <w:tcPr>
            <w:tcW w:type="dxa" w:w="4800"/>
          </w:tcPr>
          <w:p>
            <w:pPr>
              <w:spacing w:before="40" w:after="40"/>
              <w:jc w:val="left"/>
            </w:pPr>
            <w:r/>
            <w:r>
              <w:rPr>
                <w:b w:val="0"/>
                <w:color w:val="000000"/>
                <w:sz w:val="22"/>
              </w:rPr>
              <w:t>Q3, Q5, Q7, Q10</w:t>
            </w:r>
          </w:p>
        </w:tc>
      </w:tr>
      <w:tr>
        <w:tc>
          <w:tcPr>
            <w:tcW w:type="dxa" w:w="2160"/>
          </w:tcPr>
          <w:p>
            <w:pPr>
              <w:spacing w:before="40" w:after="40"/>
              <w:jc w:val="center"/>
            </w:pPr>
            <w:r/>
            <w:r>
              <w:rPr>
                <w:b w:val="0"/>
                <w:color w:val="000000"/>
                <w:sz w:val="22"/>
              </w:rPr>
              <w:t>17%</w:t>
            </w:r>
          </w:p>
        </w:tc>
        <w:tc>
          <w:tcPr>
            <w:tcW w:type="dxa" w:w="2400"/>
          </w:tcPr>
          <w:p>
            <w:pPr>
              <w:spacing w:before="40" w:after="40"/>
              <w:jc w:val="center"/>
            </w:pPr>
            <w:r/>
            <w:r>
              <w:rPr>
                <w:b w:val="0"/>
                <w:color w:val="000000"/>
                <w:sz w:val="22"/>
              </w:rPr>
              <w:t>1 of 6</w:t>
            </w:r>
          </w:p>
        </w:tc>
        <w:tc>
          <w:tcPr>
            <w:tcW w:type="dxa" w:w="4800"/>
          </w:tcPr>
          <w:p>
            <w:pPr>
              <w:spacing w:before="40" w:after="40"/>
              <w:jc w:val="left"/>
            </w:pPr>
            <w:r/>
            <w:r>
              <w:rPr>
                <w:b w:val="0"/>
                <w:color w:val="000000"/>
                <w:sz w:val="22"/>
              </w:rPr>
              <w:t>Q1, Q2, Q4, Q8, Q11, Q14, Q17, Q19, Q22</w:t>
            </w:r>
          </w:p>
        </w:tc>
      </w:tr>
    </w:tbl>
    <w:p>
      <w:pPr>
        <w:spacing w:after="160" w:before="60"/>
      </w:pPr>
      <w:r>
        <w:rPr>
          <w:b w:val="0"/>
          <w:i/>
          <w:color w:val="595959"/>
          <w:sz w:val="21"/>
        </w:rPr>
        <w:t>→ Q9 was missed by all 6 students—the most challenging item in this module—with Q21 the next toughest.</w:t>
      </w:r>
    </w:p>
    <w:p>
      <w:pPr>
        <w:pStyle w:val="Heading2"/>
        <w:spacing w:before="160" w:after="80"/>
      </w:pPr>
      <w:r>
        <w:rPr>
          <w:b/>
          <w:color w:val="1F3864"/>
          <w:sz w:val="23"/>
        </w:rPr>
        <w:t>③  English (Reading &amp; Writing) — Section 1 (Module 1)</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DDEBF7"/>
          </w:tcPr>
          <w:p>
            <w:pPr>
              <w:spacing w:before="40" w:after="40"/>
              <w:jc w:val="center"/>
            </w:pPr>
            <w:r/>
            <w:r>
              <w:rPr>
                <w:b/>
                <w:color w:val="000000"/>
                <w:sz w:val="22"/>
              </w:rPr>
              <w:t>Error Rate</w:t>
            </w:r>
          </w:p>
        </w:tc>
        <w:tc>
          <w:tcPr>
            <w:tcW w:type="dxa" w:w="2400"/>
            <w:shd w:val="clear" w:fill="DDEBF7"/>
          </w:tcPr>
          <w:p>
            <w:pPr>
              <w:spacing w:before="40" w:after="40"/>
              <w:jc w:val="center"/>
            </w:pPr>
            <w:r/>
            <w:r>
              <w:rPr>
                <w:b/>
                <w:color w:val="000000"/>
                <w:sz w:val="22"/>
              </w:rPr>
              <w:t>Students Missed</w:t>
            </w:r>
          </w:p>
        </w:tc>
        <w:tc>
          <w:tcPr>
            <w:tcW w:type="dxa" w:w="4800"/>
            <w:shd w:val="clear" w:fill="DDEBF7"/>
          </w:tcPr>
          <w:p>
            <w:pPr>
              <w:spacing w:before="40" w:after="40"/>
              <w:jc w:val="center"/>
            </w:pPr>
            <w:r/>
            <w:r>
              <w:rPr>
                <w:b/>
                <w:color w:val="000000"/>
                <w:sz w:val="22"/>
              </w:rPr>
              <w:t>Questions</w:t>
            </w:r>
          </w:p>
        </w:tc>
      </w:tr>
      <w:tr>
        <w:tc>
          <w:tcPr>
            <w:tcW w:type="dxa" w:w="2160"/>
          </w:tcPr>
          <w:p>
            <w:pPr>
              <w:spacing w:before="40" w:after="40"/>
              <w:jc w:val="center"/>
            </w:pPr>
            <w:r/>
            <w:r>
              <w:rPr>
                <w:b/>
                <w:color w:val="C00000"/>
                <w:sz w:val="22"/>
              </w:rPr>
              <w:t>100%</w:t>
            </w:r>
          </w:p>
        </w:tc>
        <w:tc>
          <w:tcPr>
            <w:tcW w:type="dxa" w:w="2400"/>
          </w:tcPr>
          <w:p>
            <w:pPr>
              <w:spacing w:before="40" w:after="40"/>
              <w:jc w:val="center"/>
            </w:pPr>
            <w:r/>
            <w:r>
              <w:rPr>
                <w:b/>
                <w:color w:val="C00000"/>
                <w:sz w:val="22"/>
              </w:rPr>
              <w:t>6 of 6</w:t>
            </w:r>
          </w:p>
        </w:tc>
        <w:tc>
          <w:tcPr>
            <w:tcW w:type="dxa" w:w="4800"/>
          </w:tcPr>
          <w:p>
            <w:pPr>
              <w:spacing w:before="40" w:after="40"/>
              <w:jc w:val="left"/>
            </w:pPr>
            <w:r/>
            <w:r>
              <w:rPr>
                <w:b/>
                <w:color w:val="C00000"/>
                <w:sz w:val="22"/>
              </w:rPr>
              <w:t>Q5</w:t>
            </w:r>
          </w:p>
        </w:tc>
      </w:tr>
      <w:tr>
        <w:tc>
          <w:tcPr>
            <w:tcW w:type="dxa" w:w="2160"/>
          </w:tcPr>
          <w:p>
            <w:pPr>
              <w:spacing w:before="40" w:after="40"/>
              <w:jc w:val="center"/>
            </w:pPr>
            <w:r/>
            <w:r>
              <w:rPr>
                <w:b/>
                <w:color w:val="C00000"/>
                <w:sz w:val="22"/>
              </w:rPr>
              <w:t>83%</w:t>
            </w:r>
          </w:p>
        </w:tc>
        <w:tc>
          <w:tcPr>
            <w:tcW w:type="dxa" w:w="2400"/>
          </w:tcPr>
          <w:p>
            <w:pPr>
              <w:spacing w:before="40" w:after="40"/>
              <w:jc w:val="center"/>
            </w:pPr>
            <w:r/>
            <w:r>
              <w:rPr>
                <w:b/>
                <w:color w:val="C00000"/>
                <w:sz w:val="22"/>
              </w:rPr>
              <w:t>5 of 6</w:t>
            </w:r>
          </w:p>
        </w:tc>
        <w:tc>
          <w:tcPr>
            <w:tcW w:type="dxa" w:w="4800"/>
          </w:tcPr>
          <w:p>
            <w:pPr>
              <w:spacing w:before="40" w:after="40"/>
              <w:jc w:val="left"/>
            </w:pPr>
            <w:r/>
            <w:r>
              <w:rPr>
                <w:b/>
                <w:color w:val="C00000"/>
                <w:sz w:val="22"/>
              </w:rPr>
              <w:t>Q12, Q20</w:t>
            </w:r>
          </w:p>
        </w:tc>
      </w:tr>
      <w:tr>
        <w:tc>
          <w:tcPr>
            <w:tcW w:type="dxa" w:w="2160"/>
          </w:tcPr>
          <w:p>
            <w:pPr>
              <w:spacing w:before="40" w:after="40"/>
              <w:jc w:val="center"/>
            </w:pPr>
            <w:r/>
            <w:r>
              <w:rPr>
                <w:b/>
                <w:color w:val="C00000"/>
                <w:sz w:val="22"/>
              </w:rPr>
              <w:t>67%</w:t>
            </w:r>
          </w:p>
        </w:tc>
        <w:tc>
          <w:tcPr>
            <w:tcW w:type="dxa" w:w="2400"/>
          </w:tcPr>
          <w:p>
            <w:pPr>
              <w:spacing w:before="40" w:after="40"/>
              <w:jc w:val="center"/>
            </w:pPr>
            <w:r/>
            <w:r>
              <w:rPr>
                <w:b/>
                <w:color w:val="C00000"/>
                <w:sz w:val="22"/>
              </w:rPr>
              <w:t>4 of 6</w:t>
            </w:r>
          </w:p>
        </w:tc>
        <w:tc>
          <w:tcPr>
            <w:tcW w:type="dxa" w:w="4800"/>
          </w:tcPr>
          <w:p>
            <w:pPr>
              <w:spacing w:before="40" w:after="40"/>
              <w:jc w:val="left"/>
            </w:pPr>
            <w:r/>
            <w:r>
              <w:rPr>
                <w:b/>
                <w:color w:val="C00000"/>
                <w:sz w:val="22"/>
              </w:rPr>
              <w:t>Q15</w:t>
            </w:r>
          </w:p>
        </w:tc>
      </w:tr>
      <w:tr>
        <w:tc>
          <w:tcPr>
            <w:tcW w:type="dxa" w:w="2160"/>
          </w:tcPr>
          <w:p>
            <w:pPr>
              <w:spacing w:before="40" w:after="40"/>
              <w:jc w:val="center"/>
            </w:pPr>
            <w:r/>
            <w:r>
              <w:rPr>
                <w:b w:val="0"/>
                <w:color w:val="000000"/>
                <w:sz w:val="22"/>
              </w:rPr>
              <w:t>50%</w:t>
            </w:r>
          </w:p>
        </w:tc>
        <w:tc>
          <w:tcPr>
            <w:tcW w:type="dxa" w:w="2400"/>
          </w:tcPr>
          <w:p>
            <w:pPr>
              <w:spacing w:before="40" w:after="40"/>
              <w:jc w:val="center"/>
            </w:pPr>
            <w:r/>
            <w:r>
              <w:rPr>
                <w:b w:val="0"/>
                <w:color w:val="000000"/>
                <w:sz w:val="22"/>
              </w:rPr>
              <w:t>3 of 6</w:t>
            </w:r>
          </w:p>
        </w:tc>
        <w:tc>
          <w:tcPr>
            <w:tcW w:type="dxa" w:w="4800"/>
          </w:tcPr>
          <w:p>
            <w:pPr>
              <w:spacing w:before="40" w:after="40"/>
              <w:jc w:val="left"/>
            </w:pPr>
            <w:r/>
            <w:r>
              <w:rPr>
                <w:b w:val="0"/>
                <w:color w:val="000000"/>
                <w:sz w:val="22"/>
              </w:rPr>
              <w:t>Q9, Q16, Q18</w:t>
            </w:r>
          </w:p>
        </w:tc>
      </w:tr>
      <w:tr>
        <w:tc>
          <w:tcPr>
            <w:tcW w:type="dxa" w:w="2160"/>
          </w:tcPr>
          <w:p>
            <w:pPr>
              <w:spacing w:before="40" w:after="40"/>
              <w:jc w:val="center"/>
            </w:pPr>
            <w:r/>
            <w:r>
              <w:rPr>
                <w:b w:val="0"/>
                <w:color w:val="000000"/>
                <w:sz w:val="22"/>
              </w:rPr>
              <w:t>33%</w:t>
            </w:r>
          </w:p>
        </w:tc>
        <w:tc>
          <w:tcPr>
            <w:tcW w:type="dxa" w:w="2400"/>
          </w:tcPr>
          <w:p>
            <w:pPr>
              <w:spacing w:before="40" w:after="40"/>
              <w:jc w:val="center"/>
            </w:pPr>
            <w:r/>
            <w:r>
              <w:rPr>
                <w:b w:val="0"/>
                <w:color w:val="000000"/>
                <w:sz w:val="22"/>
              </w:rPr>
              <w:t>2 of 6</w:t>
            </w:r>
          </w:p>
        </w:tc>
        <w:tc>
          <w:tcPr>
            <w:tcW w:type="dxa" w:w="4800"/>
          </w:tcPr>
          <w:p>
            <w:pPr>
              <w:spacing w:before="40" w:after="40"/>
              <w:jc w:val="left"/>
            </w:pPr>
            <w:r/>
            <w:r>
              <w:rPr>
                <w:b w:val="0"/>
                <w:color w:val="000000"/>
                <w:sz w:val="22"/>
              </w:rPr>
              <w:t>Q6, Q7, Q17, Q19, Q25</w:t>
            </w:r>
          </w:p>
        </w:tc>
      </w:tr>
      <w:tr>
        <w:tc>
          <w:tcPr>
            <w:tcW w:type="dxa" w:w="2160"/>
          </w:tcPr>
          <w:p>
            <w:pPr>
              <w:spacing w:before="40" w:after="40"/>
              <w:jc w:val="center"/>
            </w:pPr>
            <w:r/>
            <w:r>
              <w:rPr>
                <w:b w:val="0"/>
                <w:color w:val="000000"/>
                <w:sz w:val="22"/>
              </w:rPr>
              <w:t>17%</w:t>
            </w:r>
          </w:p>
        </w:tc>
        <w:tc>
          <w:tcPr>
            <w:tcW w:type="dxa" w:w="2400"/>
          </w:tcPr>
          <w:p>
            <w:pPr>
              <w:spacing w:before="40" w:after="40"/>
              <w:jc w:val="center"/>
            </w:pPr>
            <w:r/>
            <w:r>
              <w:rPr>
                <w:b w:val="0"/>
                <w:color w:val="000000"/>
                <w:sz w:val="22"/>
              </w:rPr>
              <w:t>1 of 6</w:t>
            </w:r>
          </w:p>
        </w:tc>
        <w:tc>
          <w:tcPr>
            <w:tcW w:type="dxa" w:w="4800"/>
          </w:tcPr>
          <w:p>
            <w:pPr>
              <w:spacing w:before="40" w:after="40"/>
              <w:jc w:val="left"/>
            </w:pPr>
            <w:r/>
            <w:r>
              <w:rPr>
                <w:b w:val="0"/>
                <w:color w:val="000000"/>
                <w:sz w:val="22"/>
              </w:rPr>
              <w:t>Q1, Q2, Q3, Q4, Q8, Q11, Q13, Q21, Q22, Q23, Q24, Q26, Q27</w:t>
            </w:r>
          </w:p>
        </w:tc>
      </w:tr>
    </w:tbl>
    <w:p>
      <w:pPr>
        <w:spacing w:after="160" w:before="60"/>
      </w:pPr>
      <w:r>
        <w:rPr>
          <w:b w:val="0"/>
          <w:i/>
          <w:color w:val="595959"/>
          <w:sz w:val="21"/>
        </w:rPr>
        <w:t>→ Q5 was missed by all 6 students—the most challenging item in this module—with Q12 and Q20 the next toughest.</w:t>
      </w:r>
    </w:p>
    <w:p>
      <w:pPr>
        <w:pStyle w:val="Heading2"/>
        <w:spacing w:before="160" w:after="80"/>
      </w:pPr>
      <w:r>
        <w:rPr>
          <w:b/>
          <w:color w:val="1F3864"/>
          <w:sz w:val="23"/>
        </w:rPr>
        <w:t>④  English (Reading &amp; Writing) — Section 2 (Module 2)</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DDEBF7"/>
          </w:tcPr>
          <w:p>
            <w:pPr>
              <w:spacing w:before="40" w:after="40"/>
              <w:jc w:val="center"/>
            </w:pPr>
            <w:r/>
            <w:r>
              <w:rPr>
                <w:b/>
                <w:color w:val="000000"/>
                <w:sz w:val="22"/>
              </w:rPr>
              <w:t>Error Rate</w:t>
            </w:r>
          </w:p>
        </w:tc>
        <w:tc>
          <w:tcPr>
            <w:tcW w:type="dxa" w:w="2400"/>
            <w:shd w:val="clear" w:fill="DDEBF7"/>
          </w:tcPr>
          <w:p>
            <w:pPr>
              <w:spacing w:before="40" w:after="40"/>
              <w:jc w:val="center"/>
            </w:pPr>
            <w:r/>
            <w:r>
              <w:rPr>
                <w:b/>
                <w:color w:val="000000"/>
                <w:sz w:val="22"/>
              </w:rPr>
              <w:t>Students Missed</w:t>
            </w:r>
          </w:p>
        </w:tc>
        <w:tc>
          <w:tcPr>
            <w:tcW w:type="dxa" w:w="4800"/>
            <w:shd w:val="clear" w:fill="DDEBF7"/>
          </w:tcPr>
          <w:p>
            <w:pPr>
              <w:spacing w:before="40" w:after="40"/>
              <w:jc w:val="center"/>
            </w:pPr>
            <w:r/>
            <w:r>
              <w:rPr>
                <w:b/>
                <w:color w:val="000000"/>
                <w:sz w:val="22"/>
              </w:rPr>
              <w:t>Questions</w:t>
            </w:r>
          </w:p>
        </w:tc>
      </w:tr>
      <w:tr>
        <w:tc>
          <w:tcPr>
            <w:tcW w:type="dxa" w:w="2160"/>
          </w:tcPr>
          <w:p>
            <w:pPr>
              <w:spacing w:before="40" w:after="40"/>
              <w:jc w:val="center"/>
            </w:pPr>
            <w:r/>
            <w:r>
              <w:rPr>
                <w:b/>
                <w:color w:val="C00000"/>
                <w:sz w:val="22"/>
              </w:rPr>
              <w:t>100%</w:t>
            </w:r>
          </w:p>
        </w:tc>
        <w:tc>
          <w:tcPr>
            <w:tcW w:type="dxa" w:w="2400"/>
          </w:tcPr>
          <w:p>
            <w:pPr>
              <w:spacing w:before="40" w:after="40"/>
              <w:jc w:val="center"/>
            </w:pPr>
            <w:r/>
            <w:r>
              <w:rPr>
                <w:b/>
                <w:color w:val="C00000"/>
                <w:sz w:val="22"/>
              </w:rPr>
              <w:t>6 of 6</w:t>
            </w:r>
          </w:p>
        </w:tc>
        <w:tc>
          <w:tcPr>
            <w:tcW w:type="dxa" w:w="4800"/>
          </w:tcPr>
          <w:p>
            <w:pPr>
              <w:spacing w:before="40" w:after="40"/>
              <w:jc w:val="left"/>
            </w:pPr>
            <w:r/>
            <w:r>
              <w:rPr>
                <w:b/>
                <w:color w:val="C00000"/>
                <w:sz w:val="22"/>
              </w:rPr>
              <w:t>Q19, Q25</w:t>
            </w:r>
          </w:p>
        </w:tc>
      </w:tr>
      <w:tr>
        <w:tc>
          <w:tcPr>
            <w:tcW w:type="dxa" w:w="2160"/>
          </w:tcPr>
          <w:p>
            <w:pPr>
              <w:spacing w:before="40" w:after="40"/>
              <w:jc w:val="center"/>
            </w:pPr>
            <w:r/>
            <w:r>
              <w:rPr>
                <w:b w:val="0"/>
                <w:color w:val="000000"/>
                <w:sz w:val="22"/>
              </w:rPr>
              <w:t>50%</w:t>
            </w:r>
          </w:p>
        </w:tc>
        <w:tc>
          <w:tcPr>
            <w:tcW w:type="dxa" w:w="2400"/>
          </w:tcPr>
          <w:p>
            <w:pPr>
              <w:spacing w:before="40" w:after="40"/>
              <w:jc w:val="center"/>
            </w:pPr>
            <w:r/>
            <w:r>
              <w:rPr>
                <w:b w:val="0"/>
                <w:color w:val="000000"/>
                <w:sz w:val="22"/>
              </w:rPr>
              <w:t>3 of 6</w:t>
            </w:r>
          </w:p>
        </w:tc>
        <w:tc>
          <w:tcPr>
            <w:tcW w:type="dxa" w:w="4800"/>
          </w:tcPr>
          <w:p>
            <w:pPr>
              <w:spacing w:before="40" w:after="40"/>
              <w:jc w:val="left"/>
            </w:pPr>
            <w:r/>
            <w:r>
              <w:rPr>
                <w:b w:val="0"/>
                <w:color w:val="000000"/>
                <w:sz w:val="22"/>
              </w:rPr>
              <w:t>Q20, Q27</w:t>
            </w:r>
          </w:p>
        </w:tc>
      </w:tr>
      <w:tr>
        <w:tc>
          <w:tcPr>
            <w:tcW w:type="dxa" w:w="2160"/>
          </w:tcPr>
          <w:p>
            <w:pPr>
              <w:spacing w:before="40" w:after="40"/>
              <w:jc w:val="center"/>
            </w:pPr>
            <w:r/>
            <w:r>
              <w:rPr>
                <w:b w:val="0"/>
                <w:color w:val="000000"/>
                <w:sz w:val="22"/>
              </w:rPr>
              <w:t>33%</w:t>
            </w:r>
          </w:p>
        </w:tc>
        <w:tc>
          <w:tcPr>
            <w:tcW w:type="dxa" w:w="2400"/>
          </w:tcPr>
          <w:p>
            <w:pPr>
              <w:spacing w:before="40" w:after="40"/>
              <w:jc w:val="center"/>
            </w:pPr>
            <w:r/>
            <w:r>
              <w:rPr>
                <w:b w:val="0"/>
                <w:color w:val="000000"/>
                <w:sz w:val="22"/>
              </w:rPr>
              <w:t>2 of 6</w:t>
            </w:r>
          </w:p>
        </w:tc>
        <w:tc>
          <w:tcPr>
            <w:tcW w:type="dxa" w:w="4800"/>
          </w:tcPr>
          <w:p>
            <w:pPr>
              <w:spacing w:before="40" w:after="40"/>
              <w:jc w:val="left"/>
            </w:pPr>
            <w:r/>
            <w:r>
              <w:rPr>
                <w:b w:val="0"/>
                <w:color w:val="000000"/>
                <w:sz w:val="22"/>
              </w:rPr>
              <w:t>Q1, Q4, Q7, Q8, Q9, Q12, Q14, Q23, Q24, Q26</w:t>
            </w:r>
          </w:p>
        </w:tc>
      </w:tr>
      <w:tr>
        <w:tc>
          <w:tcPr>
            <w:tcW w:type="dxa" w:w="2160"/>
          </w:tcPr>
          <w:p>
            <w:pPr>
              <w:spacing w:before="40" w:after="40"/>
              <w:jc w:val="center"/>
            </w:pPr>
            <w:r/>
            <w:r>
              <w:rPr>
                <w:b w:val="0"/>
                <w:color w:val="000000"/>
                <w:sz w:val="22"/>
              </w:rPr>
              <w:t>17%</w:t>
            </w:r>
          </w:p>
        </w:tc>
        <w:tc>
          <w:tcPr>
            <w:tcW w:type="dxa" w:w="2400"/>
          </w:tcPr>
          <w:p>
            <w:pPr>
              <w:spacing w:before="40" w:after="40"/>
              <w:jc w:val="center"/>
            </w:pPr>
            <w:r/>
            <w:r>
              <w:rPr>
                <w:b w:val="0"/>
                <w:color w:val="000000"/>
                <w:sz w:val="22"/>
              </w:rPr>
              <w:t>1 of 6</w:t>
            </w:r>
          </w:p>
        </w:tc>
        <w:tc>
          <w:tcPr>
            <w:tcW w:type="dxa" w:w="4800"/>
          </w:tcPr>
          <w:p>
            <w:pPr>
              <w:spacing w:before="40" w:after="40"/>
              <w:jc w:val="left"/>
            </w:pPr>
            <w:r/>
            <w:r>
              <w:rPr>
                <w:b w:val="0"/>
                <w:color w:val="000000"/>
                <w:sz w:val="22"/>
              </w:rPr>
              <w:t>Q2, Q3, Q5, Q6, Q15, Q16, Q17, Q18, Q21</w:t>
            </w:r>
          </w:p>
        </w:tc>
      </w:tr>
    </w:tbl>
    <w:p>
      <w:pPr>
        <w:spacing w:after="160" w:before="60"/>
      </w:pPr>
      <w:r>
        <w:rPr>
          <w:b w:val="0"/>
          <w:i/>
          <w:color w:val="595959"/>
          <w:sz w:val="21"/>
        </w:rPr>
        <w:t>→ Q19 and Q25 were missed by all 6 students—the most challenging items in this module—with Q20 and Q27 the next toughest.</w:t>
      </w:r>
    </w:p>
    <w:p>
      <w:pPr>
        <w:pStyle w:val="Heading1"/>
        <w:spacing w:before="240" w:after="120"/>
      </w:pPr>
      <w:r>
        <w:rPr>
          <w:b/>
          <w:color w:val="2E75B6"/>
          <w:sz w:val="26"/>
        </w:rPr>
        <w:t>4.  Our Instructional Plan</w:t>
      </w:r>
    </w:p>
    <w:p>
      <w:pPr>
        <w:pStyle w:val="ListBullet"/>
        <w:spacing w:after="100"/>
      </w:pPr>
      <w:r>
        <w:rPr>
          <w:sz w:val="22"/>
        </w:rPr>
        <w:t>Math: We will focus intensively on the student-produced response (grid-in) questions—notably Q8, Q15, and Q22 in Module 1 and Q9, Q13, and Q21 in Module 2—and reinforce Problem-Solving and Data Analysis concepts, the weakest domain (63%) this cycle.</w:t>
      </w:r>
    </w:p>
    <w:p>
      <w:pPr>
        <w:pStyle w:val="ListBullet"/>
        <w:spacing w:after="100"/>
      </w:pPr>
      <w:r>
        <w:rPr>
          <w:sz w:val="22"/>
        </w:rPr>
        <w:t>Reading &amp; Writing: We will repeatedly drill solving strategies for Expression of Ideas (61%) and the highest-miss items, especially Q5, Q12, and Q20 in Module 1 and Q19, Q20, and Q25 in Module 2, to sharpen reading and reasoning accuracy.</w:t>
      </w:r>
    </w:p>
    <w:p>
      <w:pPr>
        <w:pStyle w:val="ListBullet"/>
        <w:spacing w:after="100"/>
      </w:pPr>
      <w:r>
        <w:rPr>
          <w:sz w:val="22"/>
        </w:rPr>
        <w:t>Time Management: Because a few students left questions unanswered in the latter portion (running out of time), we will provide separate coaching on real-test pacing and strategies for handling the final questions.</w:t>
      </w:r>
    </w:p>
    <w:p>
      <w:pPr>
        <w:spacing w:after="0" w:before="200"/>
      </w:pPr>
      <w:r>
        <w:rPr>
          <w:b w:val="0"/>
          <w:i w:val="0"/>
          <w:sz w:val="22"/>
        </w:rPr>
        <w:t>We will continue to work closely with you in support of our students' growth. Thank you.</w:t>
      </w:r>
    </w:p>
    <w:sectPr w:rsidR="00FC693F" w:rsidRPr="0006063C" w:rsidSect="00034616">
      <w:footerReference w:type="default" r:id="rId9"/>
      <w:footerReference w:type="first" r:id="rId10"/>
      <w:footerReference w:type="even" r:id="rId11"/>
      <w:headerReference w:type="default" r:id="rId12"/>
      <w:headerReference w:type="firs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