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 IDEES: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0" w:right="0" w:firstLine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aplicaciones relacionadas con los coches eléctricos y los puntos de 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https://www.businessinsider.es/siete-aplicaciones-todo-conductor-coche-electrico-debe-tener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-consultar-algun-momento-645239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0.4400634765625" w:right="6.920166015625" w:firstLine="12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Interesante concepto de los roles de usuario de Charge Parking para el desarrollo de la idea de los puntos de carga en domicilios.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https://www.chargeandparking.com/en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Páginas principales de los puntos de carga para coches eléctricos.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https://evmobe.com/apps-puntos-de-recarga/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7.480010986328125" w:right="64.073486328125" w:firstLine="5.940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Interesante página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sketches de las aplicaciones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relacionadas con los puntos de carga.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https://www.adslzone.net/listas/mejores-apps/coches-electricos/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14599609375" w:line="240" w:lineRule="auto"/>
        <w:ind w:left="11.9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Barcelona: Electrolineres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8085937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https://play.google.com/store/apps/details?id=com.etraid.ecove.AMB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BICIS: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6080.550842285156" w:lineRule="auto"/>
        <w:ind w:left="7.480010986328125" w:right="4492.581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https://www.bicing.barcelona/es/app-joc-bicing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https://www.bicing.barcelona/es/smou-app</w:t>
      </w:r>
    </w:p>
    <w:sectPr>
      <w:pgSz w:h="16840" w:w="11920" w:orient="portrait"/>
      <w:pgMar w:bottom="7629.5843505859375" w:top="1426.357421875" w:left="1447.0399475097656" w:right="1437.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