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10-15 min</w:t>
      </w:r>
    </w:p>
    <w:p w:rsidR="00000000" w:rsidDel="00000000" w:rsidP="00000000" w:rsidRDefault="00000000" w:rsidRPr="00000000" w14:paraId="00000002">
      <w:pPr>
        <w:rPr/>
      </w:pPr>
      <w:r w:rsidDel="00000000" w:rsidR="00000000" w:rsidRPr="00000000">
        <w:rPr>
          <w:rtl w:val="0"/>
        </w:rPr>
        <w:t xml:space="preserve">Punts a parlar: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Explicació del Problema</w:t>
      </w:r>
    </w:p>
    <w:p w:rsidR="00000000" w:rsidDel="00000000" w:rsidP="00000000" w:rsidRDefault="00000000" w:rsidRPr="00000000" w14:paraId="00000004">
      <w:pPr>
        <w:rPr/>
      </w:pPr>
      <w:r w:rsidDel="00000000" w:rsidR="00000000" w:rsidRPr="00000000">
        <w:rPr>
          <w:rtl w:val="0"/>
        </w:rPr>
        <w:t xml:space="preserve">Cada dia que passa, els cotxes elèctrics són més abundants a la nostra societat, fent que el volum de cotxes elèctrics sigui més gran. A diferència d’aquests, el ritme en què es col·loquen nous punts de càrrega a Barcelona, és molt inferior, i ja no en parlem de la disponibilitat gairebé inexistent a les zones rurals i properes als pirineus. La major part de gent que viu en pobles lluny de nuclis urbans té més dificultat per trobar punts de càrrega elèctrics al seu abast.</w:t>
      </w:r>
    </w:p>
    <w:p w:rsidR="00000000" w:rsidDel="00000000" w:rsidP="00000000" w:rsidRDefault="00000000" w:rsidRPr="00000000" w14:paraId="00000005">
      <w:pPr>
        <w:numPr>
          <w:ilvl w:val="0"/>
          <w:numId w:val="1"/>
        </w:numPr>
        <w:spacing w:after="0" w:afterAutospacing="0"/>
        <w:ind w:left="720" w:hanging="360"/>
      </w:pPr>
      <w:r w:rsidDel="00000000" w:rsidR="00000000" w:rsidRPr="00000000">
        <w:rPr>
          <w:rtl w:val="0"/>
        </w:rPr>
        <w:t xml:space="preserve">Estudi de mercat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Solució</w:t>
      </w:r>
    </w:p>
    <w:p w:rsidR="00000000" w:rsidDel="00000000" w:rsidP="00000000" w:rsidRDefault="00000000" w:rsidRPr="00000000" w14:paraId="00000007">
      <w:pPr>
        <w:rPr/>
      </w:pPr>
      <w:r w:rsidDel="00000000" w:rsidR="00000000" w:rsidRPr="00000000">
        <w:rPr>
          <w:rtl w:val="0"/>
        </w:rPr>
        <w:t xml:space="preserve">Per aquest motiu, neix la nostra iniciativa, GreenWheel, la qual vol utilitzar no només aquells carregadors públics, sinó tots aquells que tenen els usuaris dels cotxes elèctrics de manera privada. Amb aquests, hi hauria moltes més localitzacions de càrrega, a més de que en podràs trobar a qualsevol poble de Catalunya. </w:t>
      </w:r>
    </w:p>
    <w:p w:rsidR="00000000" w:rsidDel="00000000" w:rsidP="00000000" w:rsidRDefault="00000000" w:rsidRPr="00000000" w14:paraId="00000008">
      <w:pPr>
        <w:rPr/>
      </w:pPr>
      <w:r w:rsidDel="00000000" w:rsidR="00000000" w:rsidRPr="00000000">
        <w:rPr>
          <w:rtl w:val="0"/>
        </w:rPr>
        <w:t xml:space="preserve">La nostra aplicació mòbil constarà d’un mapa en el qual es podran veure els punts de càrrega elèctrics de tot Catalunya i tots aquells punts on hi hagi bicis disponibles per a ser llogades. La nostra principal innovació és que un usuari podrà posar a disposició d’altres usuaris tant punts de càrrega com bicicletes, d’aquesta manera li proporcionen una utilitat als seus carregadors i bicicletes quan els propis usuaris no en facin ús.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Funcionalitats + Mockups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Qui parla (3 persones):</w:t>
      </w:r>
    </w:p>
    <w:p w:rsidR="00000000" w:rsidDel="00000000" w:rsidP="00000000" w:rsidRDefault="00000000" w:rsidRPr="00000000" w14:paraId="0000000C">
      <w:pPr>
        <w:numPr>
          <w:ilvl w:val="0"/>
          <w:numId w:val="2"/>
        </w:numPr>
        <w:spacing w:after="0" w:afterAutospacing="0"/>
        <w:ind w:left="720" w:hanging="360"/>
      </w:pPr>
      <w:r w:rsidDel="00000000" w:rsidR="00000000" w:rsidRPr="00000000">
        <w:rPr>
          <w:rtl w:val="0"/>
        </w:rPr>
        <w:t xml:space="preserve">Arnau</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Criis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Miguel</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before="200" w:lineRule="auto"/>
    </w:pPr>
    <w:rPr>
      <w:rFonts w:ascii="Arial" w:cs="Arial" w:eastAsia="Arial" w:hAnsi="Arial"/>
      <w:b w:val="1"/>
      <w:sz w:val="33"/>
      <w:szCs w:val="33"/>
      <w:u w:val="single"/>
    </w:rPr>
  </w:style>
  <w:style w:type="paragraph" w:styleId="Heading3">
    <w:name w:val="heading 3"/>
    <w:basedOn w:val="Normal"/>
    <w:next w:val="Normal"/>
    <w:pPr>
      <w:keepNext w:val="1"/>
      <w:keepLines w:val="1"/>
      <w:spacing w:after="80" w:before="320" w:lineRule="auto"/>
    </w:pPr>
    <w:rPr>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b5394"/>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