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hores → vigilar descompensació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mostrar carregadors public → 34: separar la història en 2, entre sincronització i l’altre mostrar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millorar criteris d’acceptació (poc detall) → com queda l’app dsp d’usar la funcionalitat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numero de la feature (branques git)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bugs posar-ho a taiga?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ora" w:cs="Lora" w:eastAsia="Lora" w:hAnsi="Lora"/>
        <w:sz w:val="22"/>
        <w:szCs w:val="22"/>
        <w:lang w:val="ca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Arial" w:cs="Arial" w:eastAsia="Arial" w:hAnsi="Arial"/>
      <w:b w:val="1"/>
      <w:sz w:val="33"/>
      <w:szCs w:val="33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sz w:val="24"/>
      <w:szCs w:val="24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b w:val="1"/>
      <w:color w:val="0b5394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