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rPr>
          <w:rFonts w:ascii="Times New Roman" w:cs="Times New Roman" w:eastAsia="Times New Roman" w:hAnsi="Times New Roman"/>
          <w:b/>
          <w:bCs/>
          <w:sz w:val="28"/>
          <w:szCs w:val="28"/>
        </w:rPr>
        <w:t xml:space="preserve">3. Metodologi Penelitian</w:t>
      </w:r>
    </w:p>
    <w:p>
      <w:pPr>
        <w:spacing w:after="200" w:line="300"/>
        <w:jc w:val="both"/>
      </w:pPr>
      <w:r>
        <w:rPr>
          <w:rFonts w:ascii="Times New Roman" w:cs="Times New Roman" w:eastAsia="Times New Roman" w:hAnsi="Times New Roman"/>
          <w:sz w:val="24"/>
          <w:szCs w:val="24"/>
        </w:rPr>
        <w:t xml:space="preserve">Penelitian ini disusun dalam lima tahap yang saling berurutan, mulai dari akuisisi data spasial hingga implementasi sistem pendukung keputusan berbasis WebGIS. Kerangka kerja lengkap ditampilkan pada Gambar 1. Setiap subbab berikut memuat notasi matematika formal dari metode yang digunakan, disertai rujukan pendukung.</w:t>
      </w:r>
    </w:p>
    <w:p>
      <w:pPr>
        <w:pStyle w:val="Heading2"/>
        <w:spacing w:after="160" w:before="260"/>
      </w:pPr>
      <w:r>
        <w:rPr>
          <w:rFonts w:ascii="Times New Roman" w:cs="Times New Roman" w:eastAsia="Times New Roman" w:hAnsi="Times New Roman"/>
          <w:b/>
          <w:bCs/>
          <w:sz w:val="26"/>
          <w:szCs w:val="26"/>
        </w:rPr>
        <w:t xml:space="preserve">3.1 Tahap 1: Akuisisi Data Spasial</w:t>
      </w:r>
    </w:p>
    <w:p>
      <w:pPr>
        <w:spacing w:after="200" w:line="300"/>
        <w:jc w:val="both"/>
      </w:pPr>
      <w:r>
        <w:rPr>
          <w:rFonts w:ascii="Times New Roman" w:cs="Times New Roman" w:eastAsia="Times New Roman" w:hAnsi="Times New Roman"/>
          <w:sz w:val="24"/>
          <w:szCs w:val="24"/>
        </w:rPr>
        <w:t xml:space="preserve">Pengumpulan data pada tahap awal memanfaatkan </w:t>
      </w:r>
      <w:r>
        <w:rPr>
          <w:rFonts w:ascii="Times New Roman" w:cs="Times New Roman" w:eastAsia="Times New Roman" w:hAnsi="Times New Roman"/>
          <w:i/>
          <w:iCs/>
          <w:sz w:val="24"/>
          <w:szCs w:val="24"/>
        </w:rPr>
        <w:t xml:space="preserve">Application Programming Interface</w:t>
      </w:r>
      <w:r>
        <w:rPr>
          <w:rFonts w:ascii="Times New Roman" w:cs="Times New Roman" w:eastAsia="Times New Roman" w:hAnsi="Times New Roman"/>
          <w:sz w:val="24"/>
          <w:szCs w:val="24"/>
        </w:rPr>
        <w:t xml:space="preserve"> (API) OpenStreetMap (OSM), sebuah basis data geospasial berbasis kontribusi sukarela (</w:t>
      </w:r>
      <w:r>
        <w:rPr>
          <w:rFonts w:ascii="Times New Roman" w:cs="Times New Roman" w:eastAsia="Times New Roman" w:hAnsi="Times New Roman"/>
          <w:i/>
          <w:iCs/>
          <w:sz w:val="24"/>
          <w:szCs w:val="24"/>
        </w:rPr>
        <w:t xml:space="preserve">volunteered geographic information</w:t>
      </w:r>
      <w:r>
        <w:rPr>
          <w:rFonts w:ascii="Times New Roman" w:cs="Times New Roman" w:eastAsia="Times New Roman" w:hAnsi="Times New Roman"/>
          <w:sz w:val="24"/>
          <w:szCs w:val="24"/>
        </w:rPr>
        <w:t xml:space="preserve">) yang telah banyak digunakan dalam penelitian pemetaan dan analisis lokasi karena keterbukaan dan cakupan globalnya (Haklay &amp; Weber, 2008). Melalui proses ekstraksi ini, diperoleh himpunan kandidat lokasi:</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1</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2</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3</w:t>
      </w:r>
      <w:r>
        <w:rPr>
          <w:rFonts w:ascii="Cambria Math" w:cs="Cambria Math" w:eastAsia="Cambria Math" w:hAnsi="Cambria Math"/>
          <w:b w:val="false"/>
          <w:bCs w:val="false"/>
          <w:i w:val="false"/>
          <w:iCs w:val="false"/>
          <w:sz w:val="24"/>
          <w:szCs w:val="24"/>
        </w:rPr>
        <w:t xml:space="preserve">, … ,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100</w:t>
      </w:r>
      <w:r>
        <w:rPr>
          <w:rFonts w:ascii="Cambria Math" w:cs="Cambria Math" w:eastAsia="Cambria Math" w:hAnsi="Cambria Math"/>
          <w:b w:val="false"/>
          <w:bCs w:val="false"/>
          <w:i w:val="false"/>
          <w:iCs w:val="false"/>
          <w:sz w:val="24"/>
          <w:szCs w:val="24"/>
        </w:rPr>
        <w:t xml:space="preserve">}</w:t>
      </w:r>
      <w:r>
        <w:rPr>
          <w:rFonts w:ascii="Times New Roman" w:cs="Times New Roman" w:eastAsia="Times New Roman" w:hAnsi="Times New Roman"/>
          <w:sz w:val="24"/>
          <w:szCs w:val="24"/>
        </w:rPr>
        <w:t xml:space="preserve">	(1)</w:t>
      </w:r>
    </w:p>
    <w:p>
      <w:pPr>
        <w:spacing w:after="200" w:line="300"/>
        <w:jc w:val="both"/>
      </w:pPr>
      <w:r>
        <w:rPr>
          <w:rFonts w:ascii="Times New Roman" w:cs="Times New Roman" w:eastAsia="Times New Roman" w:hAnsi="Times New Roman"/>
          <w:sz w:val="24"/>
          <w:szCs w:val="24"/>
        </w:rPr>
        <w:t xml:space="preserve">di mana setiap kandidat li direpresentasikan sebagai vektor atribut:</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y</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a</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p</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w:t>
      </w:r>
      <w:r>
        <w:rPr>
          <w:rFonts w:ascii="Times New Roman" w:cs="Times New Roman" w:eastAsia="Times New Roman" w:hAnsi="Times New Roman"/>
          <w:sz w:val="24"/>
          <w:szCs w:val="24"/>
        </w:rPr>
        <w:t xml:space="preserve">	(2)</w:t>
      </w:r>
    </w:p>
    <w:p>
      <w:pPr>
        <w:spacing w:after="200" w:line="300"/>
        <w:jc w:val="both"/>
      </w:pPr>
      <w:r>
        <w:rPr>
          <w:rFonts w:ascii="Times New Roman" w:cs="Times New Roman" w:eastAsia="Times New Roman" w:hAnsi="Times New Roman"/>
          <w:sz w:val="24"/>
          <w:szCs w:val="24"/>
        </w:rPr>
        <w:t xml:space="preserve">dengan xi, yi adalah koordinat geografis, ci estimasi biaya sewa, ai tingkat aksesibilitas jalan, dan pi skor kedekatan terhadap Point of Interest (POI). Keluaran tahap ini adalah 100 data mentah yang menjadi input bagi tahap penyaringan berikutnya.</w:t>
      </w:r>
    </w:p>
    <w:p>
      <w:pPr>
        <w:pStyle w:val="Heading2"/>
        <w:spacing w:after="160" w:before="260"/>
      </w:pPr>
      <w:r>
        <w:rPr>
          <w:rFonts w:ascii="Times New Roman" w:cs="Times New Roman" w:eastAsia="Times New Roman" w:hAnsi="Times New Roman"/>
          <w:b/>
          <w:bCs/>
          <w:sz w:val="26"/>
          <w:szCs w:val="26"/>
        </w:rPr>
        <w:t xml:space="preserve">3.2 Tahap 2: Penyaringan Kandidat dengan Pareto Optimality Filter</w:t>
      </w:r>
    </w:p>
    <w:p>
      <w:pPr>
        <w:spacing w:after="200" w:line="300"/>
        <w:jc w:val="both"/>
      </w:pPr>
      <w:r>
        <w:rPr>
          <w:rFonts w:ascii="Times New Roman" w:cs="Times New Roman" w:eastAsia="Times New Roman" w:hAnsi="Times New Roman"/>
          <w:sz w:val="24"/>
          <w:szCs w:val="24"/>
        </w:rPr>
        <w:t xml:space="preserve">Sebelum masuk ke proses pembobotan multi-kriteria, 100 kandidat disaring menggunakan prinsip dominasi Pareto. Prinsip ini dipilih karena mampu mengeliminasi alternatif yang secara matematis pasti tidak optimal tanpa memerlukan bobot subjektif apa pun pada tahap awal (Anysz et al., 2021).</w:t>
      </w:r>
    </w:p>
    <w:p>
      <w:pPr>
        <w:spacing w:after="200" w:line="300"/>
        <w:jc w:val="both"/>
      </w:pPr>
      <w:r>
        <w:rPr>
          <w:rFonts w:ascii="Times New Roman" w:cs="Times New Roman" w:eastAsia="Times New Roman" w:hAnsi="Times New Roman"/>
          <w:sz w:val="24"/>
          <w:szCs w:val="24"/>
        </w:rPr>
        <w:t xml:space="preserve">Untuk dua kandidat li dan lj dengan himpunan kriteria C = {C1, C2, …, Ck}, kandidat li dikatakan mendominasi lj (dinotasikan li ≻ lj) apabila:</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val="false"/>
          <w:iCs w:val="false"/>
          <w:sz w:val="24"/>
          <w:szCs w:val="24"/>
        </w:rPr>
        <w:t xml:space="preserve">∀ m ∈ {1, … , k}: </w:t>
      </w:r>
      <w:r>
        <w:rPr>
          <w:rFonts w:ascii="Cambria Math" w:cs="Cambria Math" w:eastAsia="Cambria Math" w:hAnsi="Cambria Math"/>
          <w:b w:val="false"/>
          <w:bCs w:val="false"/>
          <w:i/>
          <w:iCs/>
          <w:sz w:val="24"/>
          <w:szCs w:val="24"/>
        </w:rPr>
        <w:t xml:space="preserve">f</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val="false"/>
          <w:iCs w:val="false"/>
          <w:sz w:val="24"/>
          <w:szCs w:val="24"/>
        </w:rPr>
        <w:t xml:space="preserve">(</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f</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val="false"/>
          <w:iCs w:val="false"/>
          <w:sz w:val="24"/>
          <w:szCs w:val="24"/>
        </w:rPr>
        <w:t xml:space="preserve">(</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val="false"/>
          <w:iCs w:val="false"/>
          <w:sz w:val="24"/>
          <w:szCs w:val="24"/>
        </w:rPr>
        <w:t xml:space="preserve">)  dan  ∃ m: </w:t>
      </w:r>
      <w:r>
        <w:rPr>
          <w:rFonts w:ascii="Cambria Math" w:cs="Cambria Math" w:eastAsia="Cambria Math" w:hAnsi="Cambria Math"/>
          <w:b w:val="false"/>
          <w:bCs w:val="false"/>
          <w:i/>
          <w:iCs/>
          <w:sz w:val="24"/>
          <w:szCs w:val="24"/>
        </w:rPr>
        <w:t xml:space="preserve">f</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val="false"/>
          <w:iCs w:val="false"/>
          <w:sz w:val="24"/>
          <w:szCs w:val="24"/>
        </w:rPr>
        <w:t xml:space="preserve">(</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&gt; </w:t>
      </w:r>
      <w:r>
        <w:rPr>
          <w:rFonts w:ascii="Cambria Math" w:cs="Cambria Math" w:eastAsia="Cambria Math" w:hAnsi="Cambria Math"/>
          <w:b w:val="false"/>
          <w:bCs w:val="false"/>
          <w:i/>
          <w:iCs/>
          <w:sz w:val="24"/>
          <w:szCs w:val="24"/>
        </w:rPr>
        <w:t xml:space="preserve">f</w:t>
      </w:r>
      <w:r>
        <w:rPr>
          <w:rFonts w:ascii="Cambria Math" w:cs="Cambria Math" w:eastAsia="Cambria Math" w:hAnsi="Cambria Math"/>
          <w:b w:val="false"/>
          <w:bCs w:val="false"/>
          <w:i/>
          <w:iCs/>
          <w:sz w:val="24"/>
          <w:szCs w:val="24"/>
          <w:vertAlign w:val="subscript"/>
        </w:rPr>
        <w:t xml:space="preserve">m</w:t>
      </w:r>
      <w:r>
        <w:rPr>
          <w:rFonts w:ascii="Cambria Math" w:cs="Cambria Math" w:eastAsia="Cambria Math" w:hAnsi="Cambria Math"/>
          <w:b w:val="false"/>
          <w:bCs w:val="false"/>
          <w:i w:val="false"/>
          <w:iCs w:val="false"/>
          <w:sz w:val="24"/>
          <w:szCs w:val="24"/>
        </w:rPr>
        <w:t xml:space="preserve">(</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val="false"/>
          <w:iCs w:val="false"/>
          <w:sz w:val="24"/>
          <w:szCs w:val="24"/>
        </w:rPr>
        <w:t xml:space="preserve">)</w:t>
      </w:r>
      <w:r>
        <w:rPr>
          <w:rFonts w:ascii="Times New Roman" w:cs="Times New Roman" w:eastAsia="Times New Roman" w:hAnsi="Times New Roman"/>
          <w:sz w:val="24"/>
          <w:szCs w:val="24"/>
        </w:rPr>
        <w:t xml:space="preserve">	(3)</w:t>
      </w:r>
    </w:p>
    <w:p>
      <w:pPr>
        <w:spacing w:after="200" w:line="300"/>
        <w:jc w:val="both"/>
      </w:pPr>
      <w:r>
        <w:rPr>
          <w:rFonts w:ascii="Times New Roman" w:cs="Times New Roman" w:eastAsia="Times New Roman" w:hAnsi="Times New Roman"/>
          <w:sz w:val="24"/>
          <w:szCs w:val="24"/>
        </w:rPr>
        <w:t xml:space="preserve">dengan fm(·) menyatakan nilai kandidat pada kriteria ke-m. Kandidat lj yang didominasi oleh setidaknya satu kandidat lain dikeluarkan dari himpunan solusi, sedangkan kandidat yang tidak didominasi oleh kandidat mana pun membentuk himpunan Pareto optimal:</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val="false"/>
          <w:iCs w:val="false"/>
          <w:sz w:val="24"/>
          <w:szCs w:val="24"/>
          <w:vertAlign w:val="superscript"/>
        </w:rPr>
        <w:t xml:space="preserve">*</w:t>
      </w:r>
      <w:r>
        <w:rPr>
          <w:rFonts w:ascii="Cambria Math" w:cs="Cambria Math" w:eastAsia="Cambria Math" w:hAnsi="Cambria Math"/>
          <w:b w:val="false"/>
          <w:bCs w:val="false"/>
          <w:i w:val="false"/>
          <w:iCs w:val="false"/>
          <w:sz w:val="24"/>
          <w:szCs w:val="24"/>
        </w:rPr>
        <w:t xml:space="preserve"> = {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val="false"/>
          <w:iCs w:val="false"/>
          <w:sz w:val="24"/>
          <w:szCs w:val="24"/>
        </w:rPr>
        <w:t xml:space="preserve"> | ∄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l</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w:t>
      </w:r>
      <w:r>
        <w:rPr>
          <w:rFonts w:ascii="Times New Roman" w:cs="Times New Roman" w:eastAsia="Times New Roman" w:hAnsi="Times New Roman"/>
          <w:sz w:val="24"/>
          <w:szCs w:val="24"/>
        </w:rPr>
        <w:t xml:space="preserve">	(4)</w:t>
      </w:r>
    </w:p>
    <w:p>
      <w:pPr>
        <w:spacing w:after="200" w:line="300"/>
        <w:jc w:val="both"/>
      </w:pPr>
      <w:r>
        <w:rPr>
          <w:rFonts w:ascii="Times New Roman" w:cs="Times New Roman" w:eastAsia="Times New Roman" w:hAnsi="Times New Roman"/>
          <w:sz w:val="24"/>
          <w:szCs w:val="24"/>
        </w:rPr>
        <w:t xml:space="preserve">Pemilihan solusi akhir dari sekumpulan alternatif Pareto optimal umumnya tetap memerlukan metode pembobotan lanjutan, karena himpunan Pareto sendiri belum memberikan urutan preferensi tunggal (Wang &amp; Rangaiah, 2017). Melalui proses ini, 18 kandidat dieliminasi karena berstatus dominated, sehingga tersisa 82 kandidat yang membentuk himpunan L* dan dilanjutkan ke tahap pemeringkatan.</w:t>
      </w:r>
    </w:p>
    <w:p>
      <w:pPr>
        <w:pStyle w:val="Heading2"/>
        <w:spacing w:after="160" w:before="260"/>
      </w:pPr>
      <w:r>
        <w:rPr>
          <w:rFonts w:ascii="Times New Roman" w:cs="Times New Roman" w:eastAsia="Times New Roman" w:hAnsi="Times New Roman"/>
          <w:b/>
          <w:bCs/>
          <w:sz w:val="26"/>
          <w:szCs w:val="26"/>
        </w:rPr>
        <w:t xml:space="preserve">3.3 Tahap 3: Pemeringkatan dengan Simple Additive Weighting (SAW)</w:t>
      </w:r>
    </w:p>
    <w:p>
      <w:pPr>
        <w:spacing w:after="200" w:line="300"/>
        <w:jc w:val="both"/>
      </w:pPr>
      <w:r>
        <w:rPr>
          <w:rFonts w:ascii="Times New Roman" w:cs="Times New Roman" w:eastAsia="Times New Roman" w:hAnsi="Times New Roman"/>
          <w:sz w:val="24"/>
          <w:szCs w:val="24"/>
        </w:rPr>
        <w:t xml:space="preserve">Metode SAW dipilih karena sifatnya yang kompensatori, di mana skor akhir suatu alternatif diperoleh dari penjumlahan nilai kriteria yang telah dinormalisasi dan dibobotkan, sehingga nilai rendah pada satu kriteria dapat ditutupi oleh nilai tinggi pada kriteria lain (Chou et al., 2008).</w:t>
      </w:r>
    </w:p>
    <w:p>
      <w:pPr>
        <w:spacing w:after="200" w:line="300"/>
        <w:jc w:val="both"/>
      </w:pPr>
      <w:r>
        <w:rPr>
          <w:rFonts w:ascii="Times New Roman" w:cs="Times New Roman" w:eastAsia="Times New Roman" w:hAnsi="Times New Roman"/>
          <w:sz w:val="24"/>
          <w:szCs w:val="24"/>
        </w:rPr>
        <w:t xml:space="preserve">Proses normalisasi mengikuti dua bentuk, tergantung sifat kriteria:</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r</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max</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(kriteria benefit)</w:t>
      </w:r>
      <w:r>
        <w:rPr>
          <w:rFonts w:ascii="Times New Roman" w:cs="Times New Roman" w:eastAsia="Times New Roman" w:hAnsi="Times New Roman"/>
          <w:sz w:val="24"/>
          <w:szCs w:val="24"/>
        </w:rPr>
        <w:t xml:space="preserve">	(5)</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r</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min</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(kriteria cost)</w:t>
      </w:r>
      <w:r>
        <w:rPr>
          <w:rFonts w:ascii="Times New Roman" w:cs="Times New Roman" w:eastAsia="Times New Roman" w:hAnsi="Times New Roman"/>
          <w:sz w:val="24"/>
          <w:szCs w:val="24"/>
        </w:rPr>
        <w:t xml:space="preserve">	(6)</w:t>
      </w:r>
    </w:p>
    <w:p>
      <w:pPr>
        <w:spacing w:after="200" w:line="300"/>
        <w:jc w:val="both"/>
      </w:pPr>
      <w:r>
        <w:rPr>
          <w:rFonts w:ascii="Times New Roman" w:cs="Times New Roman" w:eastAsia="Times New Roman" w:hAnsi="Times New Roman"/>
          <w:sz w:val="24"/>
          <w:szCs w:val="24"/>
        </w:rPr>
        <w:t xml:space="preserve">dengan xij adalah nilai kandidat i pada kriteria j. Skor akhir tiap alternatif dihitung dengan:</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V</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 Σ</w:t>
      </w:r>
      <w:r>
        <w:rPr>
          <w:rFonts w:ascii="Cambria Math" w:cs="Cambria Math" w:eastAsia="Cambria Math" w:hAnsi="Cambria Math"/>
          <w:b w:val="false"/>
          <w:bCs w:val="false"/>
          <w:i/>
          <w:iCs/>
          <w:sz w:val="24"/>
          <w:szCs w:val="24"/>
          <w:vertAlign w:val="subscript"/>
        </w:rPr>
        <w:t xml:space="preserve">j=1</w:t>
      </w:r>
      <w:r>
        <w:rPr>
          <w:rFonts w:ascii="Cambria Math" w:cs="Cambria Math" w:eastAsia="Cambria Math" w:hAnsi="Cambria Math"/>
          <w:b w:val="false"/>
          <w:bCs w:val="false"/>
          <w:i/>
          <w:iCs/>
          <w:sz w:val="24"/>
          <w:szCs w:val="24"/>
          <w:vertAlign w:val="superscript"/>
        </w:rPr>
        <w:t xml:space="preserve">n</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w</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r</w:t>
      </w:r>
      <w:r>
        <w:rPr>
          <w:rFonts w:ascii="Cambria Math" w:cs="Cambria Math" w:eastAsia="Cambria Math" w:hAnsi="Cambria Math"/>
          <w:b w:val="false"/>
          <w:bCs w:val="false"/>
          <w:i/>
          <w:iCs/>
          <w:sz w:val="24"/>
          <w:szCs w:val="24"/>
          <w:vertAlign w:val="subscript"/>
        </w:rPr>
        <w:t xml:space="preserve">ij</w:t>
      </w:r>
      <w:r>
        <w:rPr>
          <w:rFonts w:ascii="Times New Roman" w:cs="Times New Roman" w:eastAsia="Times New Roman" w:hAnsi="Times New Roman"/>
          <w:sz w:val="24"/>
          <w:szCs w:val="24"/>
        </w:rPr>
        <w:t xml:space="preserve">	(7)</w:t>
      </w:r>
    </w:p>
    <w:p>
      <w:pPr>
        <w:spacing w:after="200" w:line="300"/>
        <w:jc w:val="both"/>
      </w:pPr>
      <w:r>
        <w:rPr>
          <w:rFonts w:ascii="Times New Roman" w:cs="Times New Roman" w:eastAsia="Times New Roman" w:hAnsi="Times New Roman"/>
          <w:sz w:val="24"/>
          <w:szCs w:val="24"/>
        </w:rPr>
        <w:t xml:space="preserve">dengan wj adalah bobot kriteria ke-j yang memenuhi Σ wj = 1 untuk j = 1, 2, …, n. Alternatif dengan nilai Vi tertinggi dinyatakan sebagai lokasi terbaik menurut metode SAW.</w:t>
      </w:r>
    </w:p>
    <w:p>
      <w:pPr>
        <w:pStyle w:val="Heading2"/>
        <w:spacing w:after="160" w:before="260"/>
      </w:pPr>
      <w:r>
        <w:rPr>
          <w:rFonts w:ascii="Times New Roman" w:cs="Times New Roman" w:eastAsia="Times New Roman" w:hAnsi="Times New Roman"/>
          <w:b/>
          <w:bCs/>
          <w:sz w:val="26"/>
          <w:szCs w:val="26"/>
        </w:rPr>
        <w:t xml:space="preserve">3.4 Tahap 3 (Lanjutan): Pemeringkatan dengan AHP-TOPSIS</w:t>
      </w:r>
    </w:p>
    <w:p>
      <w:pPr>
        <w:spacing w:after="200" w:line="300"/>
        <w:jc w:val="both"/>
      </w:pPr>
      <w:r>
        <w:rPr>
          <w:rFonts w:ascii="Times New Roman" w:cs="Times New Roman" w:eastAsia="Times New Roman" w:hAnsi="Times New Roman"/>
          <w:sz w:val="24"/>
          <w:szCs w:val="24"/>
        </w:rPr>
        <w:t xml:space="preserve">Sebagai pembanding, digunakan metode hybrid AHP-TOPSIS, yang menggabungkan penentuan bobot kriteria secara terstruktur melalui perbandingan berpasangan (AHP) dengan penentuan peringkat alternatif berdasarkan jarak terhadap solusi ideal (TOPSIS) (Ccatamayo-Barrios et al., 2023).</w:t>
      </w:r>
    </w:p>
    <w:p>
      <w:pPr>
        <w:pStyle w:val="Heading3"/>
        <w:spacing w:after="120" w:before="200"/>
      </w:pPr>
      <w:r>
        <w:rPr>
          <w:rFonts w:ascii="Times New Roman" w:cs="Times New Roman" w:eastAsia="Times New Roman" w:hAnsi="Times New Roman"/>
          <w:b/>
          <w:bCs/>
          <w:i/>
          <w:iCs/>
          <w:sz w:val="24"/>
          <w:szCs w:val="24"/>
        </w:rPr>
        <w:t xml:space="preserve">Tahap AHP (Penentuan Bobot Kriteria)</w:t>
      </w:r>
    </w:p>
    <w:p>
      <w:pPr>
        <w:spacing w:after="200" w:line="300"/>
        <w:jc w:val="both"/>
      </w:pPr>
      <w:r>
        <w:rPr>
          <w:rFonts w:ascii="Times New Roman" w:cs="Times New Roman" w:eastAsia="Times New Roman" w:hAnsi="Times New Roman"/>
          <w:sz w:val="24"/>
          <w:szCs w:val="24"/>
        </w:rPr>
        <w:t xml:space="preserve">Matriks perbandingan berpasangan A = [amn] dibentuk menggunakan skala Saaty 1-9, kemudian bobot kriteria diperoleh melalui perhitungan vektor eigen:</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A</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w</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maks</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w</w:t>
      </w:r>
      <w:r>
        <w:rPr>
          <w:rFonts w:ascii="Times New Roman" w:cs="Times New Roman" w:eastAsia="Times New Roman" w:hAnsi="Times New Roman"/>
          <w:sz w:val="24"/>
          <w:szCs w:val="24"/>
        </w:rPr>
        <w:t xml:space="preserve">	(8)</w:t>
      </w:r>
    </w:p>
    <w:p>
      <w:pPr>
        <w:spacing w:after="200" w:line="300"/>
        <w:jc w:val="both"/>
      </w:pPr>
      <w:r>
        <w:rPr>
          <w:rFonts w:ascii="Times New Roman" w:cs="Times New Roman" w:eastAsia="Times New Roman" w:hAnsi="Times New Roman"/>
          <w:sz w:val="24"/>
          <w:szCs w:val="24"/>
        </w:rPr>
        <w:t xml:space="preserve">Konsistensi penilaian diverifikasi melalui rasio konsistensi:</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CR</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CI</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RI</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CI</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λ</w:t>
      </w:r>
      <w:r>
        <w:rPr>
          <w:rFonts w:ascii="Cambria Math" w:cs="Cambria Math" w:eastAsia="Cambria Math" w:hAnsi="Cambria Math"/>
          <w:b w:val="false"/>
          <w:bCs w:val="false"/>
          <w:i/>
          <w:iCs/>
          <w:sz w:val="24"/>
          <w:szCs w:val="24"/>
          <w:vertAlign w:val="subscript"/>
        </w:rPr>
        <w:t xml:space="preserve">maks</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n</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n</w:t>
      </w:r>
      <w:r>
        <w:rPr>
          <w:rFonts w:ascii="Cambria Math" w:cs="Cambria Math" w:eastAsia="Cambria Math" w:hAnsi="Cambria Math"/>
          <w:b w:val="false"/>
          <w:bCs w:val="false"/>
          <w:i w:val="false"/>
          <w:iCs w:val="false"/>
          <w:sz w:val="24"/>
          <w:szCs w:val="24"/>
        </w:rPr>
        <w:t xml:space="preserve"> − 1)</w:t>
      </w:r>
      <w:r>
        <w:rPr>
          <w:rFonts w:ascii="Times New Roman" w:cs="Times New Roman" w:eastAsia="Times New Roman" w:hAnsi="Times New Roman"/>
          <w:sz w:val="24"/>
          <w:szCs w:val="24"/>
        </w:rPr>
        <w:t xml:space="preserve">	(9)</w:t>
      </w:r>
    </w:p>
    <w:p>
      <w:pPr>
        <w:spacing w:after="200" w:line="300"/>
        <w:jc w:val="both"/>
      </w:pPr>
      <w:r>
        <w:rPr>
          <w:rFonts w:ascii="Times New Roman" w:cs="Times New Roman" w:eastAsia="Times New Roman" w:hAnsi="Times New Roman"/>
          <w:sz w:val="24"/>
          <w:szCs w:val="24"/>
        </w:rPr>
        <w:t xml:space="preserve">dengan CR ≤ 0,1 sebagai syarat penerimaan matriks perbandingan.</w:t>
      </w:r>
    </w:p>
    <w:p>
      <w:pPr>
        <w:pStyle w:val="Heading3"/>
        <w:spacing w:after="120" w:before="200"/>
      </w:pPr>
      <w:r>
        <w:rPr>
          <w:rFonts w:ascii="Times New Roman" w:cs="Times New Roman" w:eastAsia="Times New Roman" w:hAnsi="Times New Roman"/>
          <w:b/>
          <w:bCs/>
          <w:i/>
          <w:iCs/>
          <w:sz w:val="24"/>
          <w:szCs w:val="24"/>
        </w:rPr>
        <w:t xml:space="preserve">Tahap TOPSIS (Penentuan Peringkat Alternatif)</w:t>
      </w:r>
    </w:p>
    <w:p>
      <w:pPr>
        <w:spacing w:after="200" w:line="300"/>
        <w:jc w:val="both"/>
      </w:pPr>
      <w:r>
        <w:rPr>
          <w:rFonts w:ascii="Times New Roman" w:cs="Times New Roman" w:eastAsia="Times New Roman" w:hAnsi="Times New Roman"/>
          <w:sz w:val="24"/>
          <w:szCs w:val="24"/>
        </w:rPr>
        <w:t xml:space="preserve">Matriks keputusan ternormalisasi dihitung sebagai:</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n</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√(Σ</w:t>
      </w:r>
      <w:r>
        <w:rPr>
          <w:rFonts w:ascii="Cambria Math" w:cs="Cambria Math" w:eastAsia="Cambria Math" w:hAnsi="Cambria Math"/>
          <w:b w:val="false"/>
          <w:bCs w:val="false"/>
          <w:i/>
          <w:iCs/>
          <w:sz w:val="24"/>
          <w:szCs w:val="24"/>
          <w:vertAlign w:val="subscript"/>
        </w:rPr>
        <w:t xml:space="preserve">i=1</w:t>
      </w:r>
      <w:r>
        <w:rPr>
          <w:rFonts w:ascii="Cambria Math" w:cs="Cambria Math" w:eastAsia="Cambria Math" w:hAnsi="Cambria Math"/>
          <w:b w:val="false"/>
          <w:bCs w:val="false"/>
          <w:i/>
          <w:iCs/>
          <w:sz w:val="24"/>
          <w:szCs w:val="24"/>
          <w:vertAlign w:val="superscript"/>
        </w:rPr>
        <w:t xml:space="preserve">m</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x</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²)</w:t>
      </w:r>
      <w:r>
        <w:rPr>
          <w:rFonts w:ascii="Times New Roman" w:cs="Times New Roman" w:eastAsia="Times New Roman" w:hAnsi="Times New Roman"/>
          <w:sz w:val="24"/>
          <w:szCs w:val="24"/>
        </w:rPr>
        <w:t xml:space="preserve">	(10)</w:t>
      </w:r>
    </w:p>
    <w:p>
      <w:pPr>
        <w:spacing w:after="200" w:line="300"/>
        <w:jc w:val="both"/>
      </w:pPr>
      <w:r>
        <w:rPr>
          <w:rFonts w:ascii="Times New Roman" w:cs="Times New Roman" w:eastAsia="Times New Roman" w:hAnsi="Times New Roman"/>
          <w:sz w:val="24"/>
          <w:szCs w:val="24"/>
        </w:rPr>
        <w:t xml:space="preserve">kemudian dikalikan dengan bobot AHP untuk membentuk matriks ternormalisasi terbobot vij = wj · nij. Solusi ideal positif A+ dan ideal negatif A− ditentukan, lalu jarak Euclidean tiap alternatif terhadap keduanya dihitung:</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val="false"/>
          <w:iCs w:val="false"/>
          <w:sz w:val="24"/>
          <w:szCs w:val="24"/>
        </w:rPr>
        <w:t xml:space="preserve"> = √(Σ</w:t>
      </w:r>
      <w:r>
        <w:rPr>
          <w:rFonts w:ascii="Cambria Math" w:cs="Cambria Math" w:eastAsia="Cambria Math" w:hAnsi="Cambria Math"/>
          <w:b w:val="false"/>
          <w:bCs w:val="false"/>
          <w:i/>
          <w:iCs/>
          <w:sz w:val="24"/>
          <w:szCs w:val="24"/>
          <w:vertAlign w:val="subscript"/>
        </w:rPr>
        <w:t xml:space="preserve">j=1</w:t>
      </w:r>
      <w:r>
        <w:rPr>
          <w:rFonts w:ascii="Cambria Math" w:cs="Cambria Math" w:eastAsia="Cambria Math" w:hAnsi="Cambria Math"/>
          <w:b w:val="false"/>
          <w:bCs w:val="false"/>
          <w:i/>
          <w:iCs/>
          <w:sz w:val="24"/>
          <w:szCs w:val="24"/>
          <w:vertAlign w:val="superscript"/>
        </w:rPr>
        <w:t xml:space="preserve">n</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v</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v</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val="false"/>
          <w:iCs w:val="false"/>
          <w:sz w:val="24"/>
          <w:szCs w:val="24"/>
        </w:rPr>
        <w:t xml:space="preserve">)²)</w:t>
      </w:r>
      <w:r>
        <w:rPr>
          <w:rFonts w:ascii="Times New Roman" w:cs="Times New Roman" w:eastAsia="Times New Roman" w:hAnsi="Times New Roman"/>
          <w:sz w:val="24"/>
          <w:szCs w:val="24"/>
        </w:rPr>
        <w:t xml:space="preserve">	(11)</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val="false"/>
          <w:iCs w:val="false"/>
          <w:sz w:val="24"/>
          <w:szCs w:val="24"/>
        </w:rPr>
        <w:t xml:space="preserve"> = √(Σ</w:t>
      </w:r>
      <w:r>
        <w:rPr>
          <w:rFonts w:ascii="Cambria Math" w:cs="Cambria Math" w:eastAsia="Cambria Math" w:hAnsi="Cambria Math"/>
          <w:b w:val="false"/>
          <w:bCs w:val="false"/>
          <w:i/>
          <w:iCs/>
          <w:sz w:val="24"/>
          <w:szCs w:val="24"/>
          <w:vertAlign w:val="subscript"/>
        </w:rPr>
        <w:t xml:space="preserve">j=1</w:t>
      </w:r>
      <w:r>
        <w:rPr>
          <w:rFonts w:ascii="Cambria Math" w:cs="Cambria Math" w:eastAsia="Cambria Math" w:hAnsi="Cambria Math"/>
          <w:b w:val="false"/>
          <w:bCs w:val="false"/>
          <w:i/>
          <w:iCs/>
          <w:sz w:val="24"/>
          <w:szCs w:val="24"/>
          <w:vertAlign w:val="superscript"/>
        </w:rPr>
        <w:t xml:space="preserve">n</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v</w:t>
      </w:r>
      <w:r>
        <w:rPr>
          <w:rFonts w:ascii="Cambria Math" w:cs="Cambria Math" w:eastAsia="Cambria Math" w:hAnsi="Cambria Math"/>
          <w:b w:val="false"/>
          <w:bCs w:val="false"/>
          <w:i/>
          <w:iCs/>
          <w:sz w:val="24"/>
          <w:szCs w:val="24"/>
          <w:vertAlign w:val="subscript"/>
        </w:rPr>
        <w:t xml:space="preserve">ij</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v</w:t>
      </w:r>
      <w:r>
        <w:rPr>
          <w:rFonts w:ascii="Cambria Math" w:cs="Cambria Math" w:eastAsia="Cambria Math" w:hAnsi="Cambria Math"/>
          <w:b w:val="false"/>
          <w:bCs w:val="false"/>
          <w:i/>
          <w:iCs/>
          <w:sz w:val="24"/>
          <w:szCs w:val="24"/>
          <w:vertAlign w:val="subscript"/>
        </w:rPr>
        <w:t xml:space="preserve">j</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val="false"/>
          <w:iCs w:val="false"/>
          <w:sz w:val="24"/>
          <w:szCs w:val="24"/>
        </w:rPr>
        <w:t xml:space="preserve">)²)</w:t>
      </w:r>
      <w:r>
        <w:rPr>
          <w:rFonts w:ascii="Times New Roman" w:cs="Times New Roman" w:eastAsia="Times New Roman" w:hAnsi="Times New Roman"/>
          <w:sz w:val="24"/>
          <w:szCs w:val="24"/>
        </w:rPr>
        <w:t xml:space="preserve">	(12)</w:t>
      </w:r>
    </w:p>
    <w:p>
      <w:pPr>
        <w:spacing w:after="200" w:line="300"/>
        <w:jc w:val="both"/>
      </w:pPr>
      <w:r>
        <w:rPr>
          <w:rFonts w:ascii="Times New Roman" w:cs="Times New Roman" w:eastAsia="Times New Roman" w:hAnsi="Times New Roman"/>
          <w:sz w:val="24"/>
          <w:szCs w:val="24"/>
        </w:rPr>
        <w:t xml:space="preserve">Nilai kedekatan relatif (closeness coefficient) terhadap solusi ideal dihitung sebagai:</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iCs/>
          <w:sz w:val="24"/>
          <w:szCs w:val="24"/>
        </w:rPr>
        <w:t xml:space="preserve">CC</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D</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iCs/>
          <w:sz w:val="24"/>
          <w:szCs w:val="24"/>
          <w:vertAlign w:val="superscript"/>
        </w:rPr>
        <w:t xml:space="preserve">−</w:t>
      </w:r>
      <w:r>
        <w:rPr>
          <w:rFonts w:ascii="Cambria Math" w:cs="Cambria Math" w:eastAsia="Cambria Math" w:hAnsi="Cambria Math"/>
          <w:b w:val="false"/>
          <w:bCs w:val="false"/>
          <w:i w:val="false"/>
          <w:iCs w:val="false"/>
          <w:sz w:val="24"/>
          <w:szCs w:val="24"/>
        </w:rPr>
        <w:t xml:space="preserve">)   , 0 ≤ </w:t>
      </w:r>
      <w:r>
        <w:rPr>
          <w:rFonts w:ascii="Cambria Math" w:cs="Cambria Math" w:eastAsia="Cambria Math" w:hAnsi="Cambria Math"/>
          <w:b w:val="false"/>
          <w:bCs w:val="false"/>
          <w:i/>
          <w:iCs/>
          <w:sz w:val="24"/>
          <w:szCs w:val="24"/>
        </w:rPr>
        <w:t xml:space="preserve">CC</w:t>
      </w:r>
      <w:r>
        <w:rPr>
          <w:rFonts w:ascii="Cambria Math" w:cs="Cambria Math" w:eastAsia="Cambria Math" w:hAnsi="Cambria Math"/>
          <w:b w:val="false"/>
          <w:bCs w:val="false"/>
          <w:i/>
          <w:iCs/>
          <w:sz w:val="24"/>
          <w:szCs w:val="24"/>
          <w:vertAlign w:val="subscript"/>
        </w:rPr>
        <w:t xml:space="preserve">i</w:t>
      </w:r>
      <w:r>
        <w:rPr>
          <w:rFonts w:ascii="Cambria Math" w:cs="Cambria Math" w:eastAsia="Cambria Math" w:hAnsi="Cambria Math"/>
          <w:b w:val="false"/>
          <w:bCs w:val="false"/>
          <w:i w:val="false"/>
          <w:iCs w:val="false"/>
          <w:sz w:val="24"/>
          <w:szCs w:val="24"/>
        </w:rPr>
        <w:t xml:space="preserve"> ≤ 1</w:t>
      </w:r>
      <w:r>
        <w:rPr>
          <w:rFonts w:ascii="Times New Roman" w:cs="Times New Roman" w:eastAsia="Times New Roman" w:hAnsi="Times New Roman"/>
          <w:sz w:val="24"/>
          <w:szCs w:val="24"/>
        </w:rPr>
        <w:t xml:space="preserve">	(13)</w:t>
      </w:r>
    </w:p>
    <w:p>
      <w:pPr>
        <w:spacing w:after="200" w:line="300"/>
        <w:jc w:val="both"/>
      </w:pPr>
      <w:r>
        <w:rPr>
          <w:rFonts w:ascii="Times New Roman" w:cs="Times New Roman" w:eastAsia="Times New Roman" w:hAnsi="Times New Roman"/>
          <w:sz w:val="24"/>
          <w:szCs w:val="24"/>
        </w:rPr>
        <w:t xml:space="preserve">Alternatif dengan nilai CCi tertinggi menempati peringkat terbaik. Karena AHP-TOPSIS bekerja berdasarkan jarak terhadap solusi ideal, metode ini secara umum lebih sensitif terhadap alternatif yang konsisten unggul pada seluruh kriteria dibandingkan dengan pendekatan kompensatori seperti SAW (Ccatamayo-Barrios et al., 2023). Hasil peringkat SAW dan AHP-TOPSIS kemudian dibandingkan untuk menguji konsistensi rekomendasi sebelum lokasi-lokasi tersebut ditetapkan sebagai target survei lapangan.</w:t>
      </w:r>
    </w:p>
    <w:p>
      <w:pPr>
        <w:pStyle w:val="Heading2"/>
        <w:spacing w:after="160" w:before="260"/>
      </w:pPr>
      <w:r>
        <w:rPr>
          <w:rFonts w:ascii="Times New Roman" w:cs="Times New Roman" w:eastAsia="Times New Roman" w:hAnsi="Times New Roman"/>
          <w:b/>
          <w:bCs/>
          <w:sz w:val="26"/>
          <w:szCs w:val="26"/>
        </w:rPr>
        <w:t xml:space="preserve">3.5 Tahap 4: Optimasi Rute Lapangan dengan Traveling Salesperson Problem (TSP)</w:t>
      </w:r>
    </w:p>
    <w:p>
      <w:pPr>
        <w:spacing w:after="200" w:line="300"/>
        <w:jc w:val="both"/>
      </w:pPr>
      <w:r>
        <w:rPr>
          <w:rFonts w:ascii="Times New Roman" w:cs="Times New Roman" w:eastAsia="Times New Roman" w:hAnsi="Times New Roman"/>
          <w:sz w:val="24"/>
          <w:szCs w:val="24"/>
        </w:rPr>
        <w:t xml:space="preserve">Setelah 82 lokasi terpilih diperingkat, disusun rute survei lapangan yang meminimalkan total jarak tempuh menggunakan formulasi TSP. Masalah ini didefinisikan pada graf lengkap berbobot G = (V, E), dengan V adalah himpunan 82 lokasi dan Cuv adalah biaya atau jarak antar dua lokasi u dan v (Kim et al., 2025). Tujuannya adalah menemukan siklus Hamiltonian, yaitu rute tertutup yang mengunjungi setiap lokasi tepat satu kali, dengan total biaya perjalanan minimum:</w:t>
      </w:r>
    </w:p>
    <w:p>
      <w:pPr>
        <w:tabs>
          <w:tab w:val="center" w:pos="4320"/>
          <w:tab w:val="right" w:pos="9072"/>
        </w:tabs>
        <w:spacing w:after="160" w:before="160"/>
      </w:pPr>
      <w:r>
        <w:rPr>
          <w:rFonts w:ascii="Cambria Math" w:cs="Cambria Math" w:eastAsia="Cambria Math" w:hAnsi="Cambria Math"/>
          <w:sz w:val="24"/>
          <w:szCs w:val="24"/>
        </w:rPr>
        <w:t xml:space="preserve">	</w:t>
      </w:r>
      <w:r>
        <w:rPr>
          <w:rFonts w:ascii="Cambria Math" w:cs="Cambria Math" w:eastAsia="Cambria Math" w:hAnsi="Cambria Math"/>
          <w:b w:val="false"/>
          <w:bCs w:val="false"/>
          <w:i w:val="false"/>
          <w:iCs w:val="false"/>
          <w:sz w:val="24"/>
          <w:szCs w:val="24"/>
        </w:rPr>
        <w:t xml:space="preserve">min</w:t>
      </w:r>
      <w:r>
        <w:rPr>
          <w:rFonts w:ascii="Cambria Math" w:cs="Cambria Math" w:eastAsia="Cambria Math" w:hAnsi="Cambria Math"/>
          <w:b w:val="false"/>
          <w:bCs w:val="false"/>
          <w:i/>
          <w:iCs/>
          <w:sz w:val="24"/>
          <w:szCs w:val="24"/>
          <w:vertAlign w:val="subscript"/>
        </w:rPr>
        <w:t xml:space="preserve">π</w:t>
      </w:r>
      <w:r>
        <w:rPr>
          <w:rFonts w:ascii="Cambria Math" w:cs="Cambria Math" w:eastAsia="Cambria Math" w:hAnsi="Cambria Math"/>
          <w:b w:val="false"/>
          <w:bCs w:val="false"/>
          <w:i w:val="false"/>
          <w:iCs w:val="false"/>
          <w:sz w:val="24"/>
          <w:szCs w:val="24"/>
        </w:rPr>
        <w:t xml:space="preserve"> Σ</w:t>
      </w:r>
      <w:r>
        <w:rPr>
          <w:rFonts w:ascii="Cambria Math" w:cs="Cambria Math" w:eastAsia="Cambria Math" w:hAnsi="Cambria Math"/>
          <w:b w:val="false"/>
          <w:bCs w:val="false"/>
          <w:i/>
          <w:iCs/>
          <w:sz w:val="24"/>
          <w:szCs w:val="24"/>
          <w:vertAlign w:val="subscript"/>
        </w:rPr>
        <w:t xml:space="preserve">i=1</w:t>
      </w:r>
      <w:r>
        <w:rPr>
          <w:rFonts w:ascii="Cambria Math" w:cs="Cambria Math" w:eastAsia="Cambria Math" w:hAnsi="Cambria Math"/>
          <w:b w:val="false"/>
          <w:bCs w:val="false"/>
          <w:i/>
          <w:iCs/>
          <w:sz w:val="24"/>
          <w:szCs w:val="24"/>
          <w:vertAlign w:val="superscript"/>
        </w:rPr>
        <w:t xml:space="preserve">n</w:t>
      </w:r>
      <w:r>
        <w:rPr>
          <w:rFonts w:ascii="Cambria Math" w:cs="Cambria Math" w:eastAsia="Cambria Math" w:hAnsi="Cambria Math"/>
          <w:b w:val="false"/>
          <w:bCs w:val="false"/>
          <w:i w:val="false"/>
          <w:iCs w:val="false"/>
          <w:sz w:val="24"/>
          <w:szCs w:val="24"/>
        </w:rPr>
        <w:t xml:space="preserve"> </w:t>
      </w:r>
      <w:r>
        <w:rPr>
          <w:rFonts w:ascii="Cambria Math" w:cs="Cambria Math" w:eastAsia="Cambria Math" w:hAnsi="Cambria Math"/>
          <w:b w:val="false"/>
          <w:bCs w:val="false"/>
          <w:i/>
          <w:iCs/>
          <w:sz w:val="24"/>
          <w:szCs w:val="24"/>
        </w:rPr>
        <w:t xml:space="preserve">C</w:t>
      </w:r>
      <w:r>
        <w:rPr>
          <w:rFonts w:ascii="Cambria Math" w:cs="Cambria Math" w:eastAsia="Cambria Math" w:hAnsi="Cambria Math"/>
          <w:b w:val="false"/>
          <w:bCs w:val="false"/>
          <w:i/>
          <w:iCs/>
          <w:sz w:val="24"/>
          <w:szCs w:val="24"/>
          <w:vertAlign w:val="subscript"/>
        </w:rPr>
        <w:t xml:space="preserve">πᵢ,πᵢ₊₁</w:t>
      </w:r>
      <w:r>
        <w:rPr>
          <w:rFonts w:ascii="Cambria Math" w:cs="Cambria Math" w:eastAsia="Cambria Math" w:hAnsi="Cambria Math"/>
          <w:b w:val="false"/>
          <w:bCs w:val="false"/>
          <w:i w:val="false"/>
          <w:iCs w:val="false"/>
          <w:sz w:val="24"/>
          <w:szCs w:val="24"/>
        </w:rPr>
        <w:t xml:space="preserve"> ,   dengan </w:t>
      </w:r>
      <w:r>
        <w:rPr>
          <w:rFonts w:ascii="Cambria Math" w:cs="Cambria Math" w:eastAsia="Cambria Math" w:hAnsi="Cambria Math"/>
          <w:b w:val="false"/>
          <w:bCs w:val="false"/>
          <w:i/>
          <w:iCs/>
          <w:sz w:val="24"/>
          <w:szCs w:val="24"/>
        </w:rPr>
        <w:t xml:space="preserve">π</w:t>
      </w:r>
      <w:r>
        <w:rPr>
          <w:rFonts w:ascii="Cambria Math" w:cs="Cambria Math" w:eastAsia="Cambria Math" w:hAnsi="Cambria Math"/>
          <w:b w:val="false"/>
          <w:bCs w:val="false"/>
          <w:i/>
          <w:iCs/>
          <w:sz w:val="24"/>
          <w:szCs w:val="24"/>
          <w:vertAlign w:val="subscript"/>
        </w:rPr>
        <w:t xml:space="preserve">n+1</w:t>
      </w:r>
      <w:r>
        <w:rPr>
          <w:rFonts w:ascii="Cambria Math" w:cs="Cambria Math" w:eastAsia="Cambria Math" w:hAnsi="Cambria Math"/>
          <w:b w:val="false"/>
          <w:bCs w:val="false"/>
          <w:i w:val="false"/>
          <w:iCs w:val="false"/>
          <w:sz w:val="24"/>
          <w:szCs w:val="24"/>
        </w:rPr>
        <w:t xml:space="preserve"> = </w:t>
      </w:r>
      <w:r>
        <w:rPr>
          <w:rFonts w:ascii="Cambria Math" w:cs="Cambria Math" w:eastAsia="Cambria Math" w:hAnsi="Cambria Math"/>
          <w:b w:val="false"/>
          <w:bCs w:val="false"/>
          <w:i/>
          <w:iCs/>
          <w:sz w:val="24"/>
          <w:szCs w:val="24"/>
        </w:rPr>
        <w:t xml:space="preserve">π</w:t>
      </w:r>
      <w:r>
        <w:rPr>
          <w:rFonts w:ascii="Cambria Math" w:cs="Cambria Math" w:eastAsia="Cambria Math" w:hAnsi="Cambria Math"/>
          <w:b w:val="false"/>
          <w:bCs w:val="false"/>
          <w:i/>
          <w:iCs/>
          <w:sz w:val="24"/>
          <w:szCs w:val="24"/>
          <w:vertAlign w:val="subscript"/>
        </w:rPr>
        <w:t xml:space="preserve">1</w:t>
      </w:r>
      <w:r>
        <w:rPr>
          <w:rFonts w:ascii="Times New Roman" w:cs="Times New Roman" w:eastAsia="Times New Roman" w:hAnsi="Times New Roman"/>
          <w:sz w:val="24"/>
          <w:szCs w:val="24"/>
        </w:rPr>
        <w:t xml:space="preserve">	(14)</w:t>
      </w:r>
    </w:p>
    <w:p>
      <w:pPr>
        <w:spacing w:after="200" w:line="300"/>
        <w:jc w:val="both"/>
      </w:pPr>
      <w:r>
        <w:rPr>
          <w:rFonts w:ascii="Times New Roman" w:cs="Times New Roman" w:eastAsia="Times New Roman" w:hAnsi="Times New Roman"/>
          <w:sz w:val="24"/>
          <w:szCs w:val="24"/>
        </w:rPr>
        <w:t xml:space="preserve">di mana π adalah permutasi urutan kunjungan lokasi. Pendekatan berbasis informasi spasial dapat mempersempit ruang solusi TSP dengan memanfaatkan struktur ketetanggaan antar lokasi, sehingga proses optimasi menjadi lebih efisien pada instansi berskala besar (Kim et al., 2025). Hasil optimasi pada penelitian ini menghasilkan rute survei sepanjang 195,44 km yang mencakup seluruh 82 lokasi terpilih, dan menjadi panduan verifikasi lapangan (ground truth).</w:t>
      </w:r>
    </w:p>
    <w:p>
      <w:pPr>
        <w:pStyle w:val="Heading2"/>
        <w:spacing w:after="160" w:before="260"/>
      </w:pPr>
      <w:r>
        <w:rPr>
          <w:rFonts w:ascii="Times New Roman" w:cs="Times New Roman" w:eastAsia="Times New Roman" w:hAnsi="Times New Roman"/>
          <w:b/>
          <w:bCs/>
          <w:sz w:val="26"/>
          <w:szCs w:val="26"/>
        </w:rPr>
        <w:t xml:space="preserve">3.6 Tahap 5: Implementasi Sistem melalui Dashboard WebGIS</w:t>
      </w:r>
    </w:p>
    <w:p>
      <w:pPr>
        <w:spacing w:after="200" w:line="300"/>
        <w:jc w:val="both"/>
      </w:pPr>
      <w:r>
        <w:rPr>
          <w:rFonts w:ascii="Times New Roman" w:cs="Times New Roman" w:eastAsia="Times New Roman" w:hAnsi="Times New Roman"/>
          <w:sz w:val="24"/>
          <w:szCs w:val="24"/>
        </w:rPr>
        <w:t xml:space="preserve">Tahap akhir mengintegrasikan seluruh keluaran sebelumnya, yaitu tabel hasil perankingan (Tabel 4.1) dan jalur TSP hasil optimasi, ke dalam dashboard WebGIS interaktif. Sistem ini dirancang agar dapat langsung digunakan oleh pengambil kebijakan, khususnya investor, untuk mendukung pengambilan keputusan lokasi secara berbasis data dan dapat ditelusuri sumbernya.</w:t>
      </w:r>
    </w:p>
    <w:p>
      <w:pPr>
        <w:spacing w:after="60" w:before="300"/>
        <w:jc w:val="center"/>
      </w:pPr>
      <w:r>
        <w:drawing>
          <wp:inline distT="0" distB="0" distL="0" distR="0">
            <wp:extent cx="4095750"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5857875"/>
                    </a:xfrm>
                    <a:prstGeom prst="rect">
                      <a:avLst/>
                    </a:prstGeom>
                  </pic:spPr>
                </pic:pic>
              </a:graphicData>
            </a:graphic>
          </wp:inline>
        </w:drawing>
      </w:r>
    </w:p>
    <w:p>
      <w:pPr>
        <w:spacing w:after="240" w:before="120"/>
        <w:jc w:val="center"/>
      </w:pPr>
      <w:r>
        <w:rPr>
          <w:rFonts w:ascii="Times New Roman" w:cs="Times New Roman" w:eastAsia="Times New Roman" w:hAnsi="Times New Roman"/>
          <w:i/>
          <w:iCs/>
          <w:sz w:val="22"/>
          <w:szCs w:val="22"/>
        </w:rPr>
        <w:t xml:space="preserve">Gambar 1. Diagram alur metodologi penelitian, terdiri atas lima tahap: pengumpulan data spasial melalui OpenStreetMap, penyaringan kandidat menggunakan Pareto optimality filter, pemeringkatan MCDM dengan metode SAW dan AHP-TOPSIS secara paralel, optimasi rute lapangan menggunakan TSP, dan visualisasi serta rekomendasi melalui dashboard WebGIS.</w:t>
      </w:r>
    </w:p>
    <w:p>
      <w:pPr>
        <w:pStyle w:val="Heading1"/>
        <w:spacing w:after="200" w:before="400"/>
      </w:pPr>
      <w:r>
        <w:rPr>
          <w:rFonts w:ascii="Times New Roman" w:cs="Times New Roman" w:eastAsia="Times New Roman" w:hAnsi="Times New Roman"/>
          <w:b/>
          <w:bCs/>
          <w:sz w:val="28"/>
          <w:szCs w:val="28"/>
        </w:rPr>
        <w:t xml:space="preserve">Daftar Pustaka</w:t>
      </w:r>
    </w:p>
    <w:p>
      <w:pPr>
        <w:spacing w:after="200" w:line="276"/>
        <w:ind w:left="720" w:hanging="720"/>
        <w:jc w:val="both"/>
      </w:pPr>
      <w:r>
        <w:rPr>
          <w:rFonts w:ascii="Times New Roman" w:cs="Times New Roman" w:eastAsia="Times New Roman" w:hAnsi="Times New Roman"/>
          <w:sz w:val="24"/>
          <w:szCs w:val="24"/>
        </w:rPr>
        <w:t xml:space="preserve">Anysz, H., Nicał, A., Stević, Ž., Grzegorzewski, M., &amp; Sikora, K. (2021). Pareto optimal decisions in multi-criteria decision making explained with construction cost cases. </w:t>
      </w:r>
      <w:r>
        <w:rPr>
          <w:rFonts w:ascii="Times New Roman" w:cs="Times New Roman" w:eastAsia="Times New Roman" w:hAnsi="Times New Roman"/>
          <w:i/>
          <w:iCs/>
          <w:sz w:val="24"/>
          <w:szCs w:val="24"/>
        </w:rPr>
        <w:t xml:space="preserve">Symmetry, 13</w:t>
      </w:r>
      <w:r>
        <w:rPr>
          <w:rFonts w:ascii="Times New Roman" w:cs="Times New Roman" w:eastAsia="Times New Roman" w:hAnsi="Times New Roman"/>
          <w:sz w:val="24"/>
          <w:szCs w:val="24"/>
        </w:rPr>
        <w:t xml:space="preserve">(1), Article 46. https://doi.org/10.3390/sym13010046</w:t>
      </w:r>
    </w:p>
    <w:p>
      <w:pPr>
        <w:spacing w:after="200" w:line="276"/>
        <w:ind w:left="720" w:hanging="720"/>
        <w:jc w:val="both"/>
      </w:pPr>
      <w:r>
        <w:rPr>
          <w:rFonts w:ascii="Times New Roman" w:cs="Times New Roman" w:eastAsia="Times New Roman" w:hAnsi="Times New Roman"/>
          <w:sz w:val="24"/>
          <w:szCs w:val="24"/>
        </w:rPr>
        <w:t xml:space="preserve">Ccatamayo-Barrios, J.-H., Huamán-Romaní, Y.-L., Seminario-Morales, M.-V., Flores-Castillo, M.-M., Gutiérrez-Gómez, E., Carrillo-De la Cruz, L.-K., &amp; de la Cruz-Girón, K.-A. (2023). Comparative analysis of AHP and TOPSIS multi-criteria decision-making methods for mining method selection. </w:t>
      </w:r>
      <w:r>
        <w:rPr>
          <w:rFonts w:ascii="Times New Roman" w:cs="Times New Roman" w:eastAsia="Times New Roman" w:hAnsi="Times New Roman"/>
          <w:i/>
          <w:iCs/>
          <w:sz w:val="24"/>
          <w:szCs w:val="24"/>
        </w:rPr>
        <w:t xml:space="preserve">Mathematical Modelling of Engineering Problems, 10</w:t>
      </w:r>
      <w:r>
        <w:rPr>
          <w:rFonts w:ascii="Times New Roman" w:cs="Times New Roman" w:eastAsia="Times New Roman" w:hAnsi="Times New Roman"/>
          <w:sz w:val="24"/>
          <w:szCs w:val="24"/>
        </w:rPr>
        <w:t xml:space="preserve">(5), 1665-1674. https://doi.org/10.18280/mmep.100516</w:t>
      </w:r>
    </w:p>
    <w:p>
      <w:pPr>
        <w:spacing w:after="200" w:line="276"/>
        <w:ind w:left="720" w:hanging="720"/>
        <w:jc w:val="both"/>
      </w:pPr>
      <w:r>
        <w:rPr>
          <w:rFonts w:ascii="Times New Roman" w:cs="Times New Roman" w:eastAsia="Times New Roman" w:hAnsi="Times New Roman"/>
          <w:sz w:val="24"/>
          <w:szCs w:val="24"/>
        </w:rPr>
        <w:t xml:space="preserve">Chou, S.-Y., Chang, Y.-H., &amp; Shen, C.-Y. (2008). A fuzzy simple additive weighting system under group decision-making for facility location selection with objective/subjective attributes. </w:t>
      </w:r>
      <w:r>
        <w:rPr>
          <w:rFonts w:ascii="Times New Roman" w:cs="Times New Roman" w:eastAsia="Times New Roman" w:hAnsi="Times New Roman"/>
          <w:i/>
          <w:iCs/>
          <w:sz w:val="24"/>
          <w:szCs w:val="24"/>
        </w:rPr>
        <w:t xml:space="preserve">European Journal of Operational Research, 189</w:t>
      </w:r>
      <w:r>
        <w:rPr>
          <w:rFonts w:ascii="Times New Roman" w:cs="Times New Roman" w:eastAsia="Times New Roman" w:hAnsi="Times New Roman"/>
          <w:sz w:val="24"/>
          <w:szCs w:val="24"/>
        </w:rPr>
        <w:t xml:space="preserve">(1), 132-145. https://doi.org/10.1016/j.ejor.2007.05.006</w:t>
      </w:r>
    </w:p>
    <w:p>
      <w:pPr>
        <w:spacing w:after="200" w:line="276"/>
        <w:ind w:left="720" w:hanging="720"/>
        <w:jc w:val="both"/>
      </w:pPr>
      <w:r>
        <w:rPr>
          <w:rFonts w:ascii="Times New Roman" w:cs="Times New Roman" w:eastAsia="Times New Roman" w:hAnsi="Times New Roman"/>
          <w:sz w:val="24"/>
          <w:szCs w:val="24"/>
        </w:rPr>
        <w:t xml:space="preserve">Haklay, M., &amp; Weber, P. (2008). OpenStreetMap: User-generated street maps. </w:t>
      </w:r>
      <w:r>
        <w:rPr>
          <w:rFonts w:ascii="Times New Roman" w:cs="Times New Roman" w:eastAsia="Times New Roman" w:hAnsi="Times New Roman"/>
          <w:i/>
          <w:iCs/>
          <w:sz w:val="24"/>
          <w:szCs w:val="24"/>
        </w:rPr>
        <w:t xml:space="preserve">IEEE Pervasive Computing, 7</w:t>
      </w:r>
      <w:r>
        <w:rPr>
          <w:rFonts w:ascii="Times New Roman" w:cs="Times New Roman" w:eastAsia="Times New Roman" w:hAnsi="Times New Roman"/>
          <w:sz w:val="24"/>
          <w:szCs w:val="24"/>
        </w:rPr>
        <w:t xml:space="preserve">(4), 12-18. https://doi.org/10.1109/MPRV.2008.80</w:t>
      </w:r>
    </w:p>
    <w:p>
      <w:pPr>
        <w:spacing w:after="200" w:line="276"/>
        <w:ind w:left="720" w:hanging="720"/>
        <w:jc w:val="both"/>
      </w:pPr>
      <w:r>
        <w:rPr>
          <w:rFonts w:ascii="Times New Roman" w:cs="Times New Roman" w:eastAsia="Times New Roman" w:hAnsi="Times New Roman"/>
          <w:sz w:val="24"/>
          <w:szCs w:val="24"/>
        </w:rPr>
        <w:t xml:space="preserve">Kim, W., Kim, H., &amp; Chun, Y. (2025). A spatially informed solving approach for the Traveling Salesman Problem. </w:t>
      </w:r>
      <w:r>
        <w:rPr>
          <w:rFonts w:ascii="Times New Roman" w:cs="Times New Roman" w:eastAsia="Times New Roman" w:hAnsi="Times New Roman"/>
          <w:i/>
          <w:iCs/>
          <w:sz w:val="24"/>
          <w:szCs w:val="24"/>
        </w:rPr>
        <w:t xml:space="preserve">The Professional Geographer, 77</w:t>
      </w:r>
      <w:r>
        <w:rPr>
          <w:rFonts w:ascii="Times New Roman" w:cs="Times New Roman" w:eastAsia="Times New Roman" w:hAnsi="Times New Roman"/>
          <w:sz w:val="24"/>
          <w:szCs w:val="24"/>
        </w:rPr>
        <w:t xml:space="preserve">(6), 690-703. https://doi.org/10.1080/00330124.2025.2565474</w:t>
      </w:r>
    </w:p>
    <w:p>
      <w:pPr>
        <w:spacing w:after="200" w:line="276"/>
        <w:ind w:left="720" w:hanging="720"/>
        <w:jc w:val="both"/>
      </w:pPr>
      <w:r>
        <w:rPr>
          <w:rFonts w:ascii="Times New Roman" w:cs="Times New Roman" w:eastAsia="Times New Roman" w:hAnsi="Times New Roman"/>
          <w:sz w:val="24"/>
          <w:szCs w:val="24"/>
        </w:rPr>
        <w:t xml:space="preserve">Wang, Z., &amp; Rangaiah, G. P. (2017). Application and analysis of methods for selecting an optimal solution from the Pareto-optimal front obtained by multiobjective optimization. </w:t>
      </w:r>
      <w:r>
        <w:rPr>
          <w:rFonts w:ascii="Times New Roman" w:cs="Times New Roman" w:eastAsia="Times New Roman" w:hAnsi="Times New Roman"/>
          <w:i/>
          <w:iCs/>
          <w:sz w:val="24"/>
          <w:szCs w:val="24"/>
        </w:rPr>
        <w:t xml:space="preserve">Industrial &amp; Engineering Chemistry Research, 56</w:t>
      </w:r>
      <w:r>
        <w:rPr>
          <w:rFonts w:ascii="Times New Roman" w:cs="Times New Roman" w:eastAsia="Times New Roman" w:hAnsi="Times New Roman"/>
          <w:sz w:val="24"/>
          <w:szCs w:val="24"/>
        </w:rPr>
        <w:t xml:space="preserve">(2), 560-574. https://doi.org/10.1021/acs.iecr.6b03453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f4e9c190e194f44594fb114f2bde345867b9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2026-07-28T06:09:05.874Z</dcterms:created>
  <dcterms:modified xsi:type="dcterms:W3CDTF">2026-07-28T06:09:05.874Z</dcterms:modified>
</cp:coreProperties>
</file>

<file path=docProps/custom.xml><?xml version="1.0" encoding="utf-8"?>
<Properties xmlns="http://schemas.openxmlformats.org/officeDocument/2006/custom-properties" xmlns:vt="http://schemas.openxmlformats.org/officeDocument/2006/docPropsVTypes"/>
</file>