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Sweet Trap: Reward-Fitness Decoupling as a Universal Biological Phenomenon Shaped by Convergent Reward-System Evolution</w:t>
      </w:r>
    </w:p>
    <w:bookmarkStart w:id="23" w:name="Xf182562f69ab5af6a3f58d26908d6a84f302d46"/>
    <w:p>
      <w:pPr>
        <w:pStyle w:val="Heading1"/>
      </w:pPr>
      <w:r>
        <w:t xml:space="preserve">Sweet Trap: Reward–Fitness Decoupling as a Universal Biological Phenomenon Shaped by Convergent Reward-System Evolution — A Pre-Registered Three-Part Research Programme</w:t>
      </w:r>
    </w:p>
    <w:p>
      <w:pPr>
        <w:pStyle w:val="FirstParagraph"/>
      </w:pPr>
      <w:r>
        <w:rPr>
          <w:b/>
          <w:bCs/>
        </w:rPr>
        <w:t xml:space="preserve">bioRxiv priority preprint, 4-page version</w:t>
      </w:r>
      <w:r>
        <w:t xml:space="preserve"> </w:t>
      </w:r>
      <w:r>
        <w:rPr>
          <w:b/>
          <w:bCs/>
        </w:rPr>
        <w:t xml:space="preserve">Target deposit:</w:t>
      </w:r>
      <w:r>
        <w:t xml:space="preserve"> </w:t>
      </w:r>
      <w:r>
        <w:t xml:space="preserve">Week 0 of 12-week pipeline (concurrent with OSF pre-registration)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Draft 1.0 (2026-04-23), ready for format polish and Playwright deposit</w:t>
      </w:r>
    </w:p>
    <w:p>
      <w:pPr>
        <w:pStyle w:val="BodyText"/>
      </w:pPr>
      <w:r>
        <w:rPr>
          <w:b/>
          <w:bCs/>
        </w:rPr>
        <w:t xml:space="preserve">Authors:</w:t>
      </w:r>
      <w:r>
        <w:t xml:space="preserve"> </w:t>
      </w:r>
      <w:r>
        <w:t xml:space="preserve">Lu An¹,² · Hongyang Xi³,⁴</w:t>
      </w:r>
      <w:r>
        <w:t xml:space="preserve"> </w:t>
      </w:r>
      <w:r>
        <w:t xml:space="preserve">¹ Department of Breast Surgery, Chongqing Maternal and Child Health Care Hospital, Chongqing, China</w:t>
      </w:r>
      <w:r>
        <w:t xml:space="preserve"> </w:t>
      </w:r>
      <w:r>
        <w:t xml:space="preserve">² [Institutional affiliation 2]</w:t>
      </w:r>
      <w:r>
        <w:t xml:space="preserve"> </w:t>
      </w:r>
      <w:r>
        <w:t xml:space="preserve">³ HUFLIT University, Ho Chi Minh City, Vietnam</w:t>
      </w:r>
      <w:r>
        <w:t xml:space="preserve"> </w:t>
      </w:r>
      <w:r>
        <w:t xml:space="preserve">⁴ [Institutional affiliation 2]</w:t>
      </w:r>
    </w:p>
    <w:p>
      <w:pPr>
        <w:pStyle w:val="BodyText"/>
      </w:pPr>
      <w:r>
        <w:rPr>
          <w:b/>
          <w:bCs/>
        </w:rPr>
        <w:t xml:space="preserve">Corresponding authors:</w:t>
      </w:r>
      <w:r>
        <w:t xml:space="preserve"> </w:t>
      </w:r>
      <w:r>
        <w:t xml:space="preserve">Lu An (22dh110340@st.huflit.edu.vn); Hongyang Xi (26708155@alu.cqu.edu.cn)</w:t>
      </w:r>
      <w:r>
        <w:t xml:space="preserve"> </w:t>
      </w:r>
      <w:r>
        <w:rPr>
          <w:b/>
          <w:bCs/>
        </w:rPr>
        <w:t xml:space="preserve">ORCID:</w:t>
      </w:r>
      <w:r>
        <w:t xml:space="preserve"> </w:t>
      </w:r>
      <w:r>
        <w:t xml:space="preserve">Lu An 0009-XXXX-XXXX | Hongyang Xi 0009-XXXX-XXXX</w:t>
      </w:r>
      <w:r>
        <w:t xml:space="preserve"> </w:t>
      </w:r>
      <w:r>
        <w:rPr>
          <w:b/>
          <w:bCs/>
        </w:rPr>
        <w:t xml:space="preserve">OSF Pre-Registration:</w:t>
      </w:r>
      <w:r>
        <w:t xml:space="preserve"> </w:t>
      </w:r>
      <w:r>
        <w:t xml:space="preserve">https://osf.io/[token-TBD]/</w:t>
      </w:r>
      <w:r>
        <w:t xml:space="preserve"> </w:t>
      </w:r>
      <w:r>
        <w:rPr>
          <w:b/>
          <w:bCs/>
        </w:rPr>
        <w:t xml:space="preserve">Data/Code:</w:t>
      </w:r>
      <w:r>
        <w:t xml:space="preserve"> </w:t>
      </w:r>
      <w:r>
        <w:t xml:space="preserve">All analytical code, case-database, and figure-replication scripts deposited at OSF at registration time.</w:t>
      </w:r>
    </w:p>
    <w:p>
      <w:r>
        <w:pict>
          <v:rect style="width:0;height:1.5pt" o:hralign="center" o:hrstd="t" o:hr="t"/>
        </w:pict>
      </w:r>
    </w:p>
    <w:bookmarkStart w:id="9" w:name="abstract-200-words"/>
    <w:p>
      <w:pPr>
        <w:pStyle w:val="Heading2"/>
      </w:pPr>
      <w:r>
        <w:t xml:space="preserve">Abstract (≈200 words)</w:t>
      </w:r>
    </w:p>
    <w:p>
      <w:pPr>
        <w:pStyle w:val="FirstParagraph"/>
      </w:pPr>
      <w:r>
        <w:t xml:space="preserve">The question of why organisms systematically pursue proximate rewards that damage their own fitness — moths into streetlamps, sea turtles onto plastic, humans into ultraprocessed diets and engineered digital feeds — has no single biological theory. We introduce</w:t>
      </w:r>
      <w:r>
        <w:t xml:space="preserve"> </w:t>
      </w:r>
      <w:r>
        <w:rPr>
          <w:b/>
          <w:bCs/>
        </w:rPr>
        <w:t xml:space="preserve">Sweet Trap</w:t>
      </w:r>
      <w:r>
        <w:t xml:space="preserve">, a cross-species construct for reward–fitness decoupling under voluntary endorsement, operationalised by the signed scalar Δ_ST =</w:t>
      </w:r>
      <w:r>
        <w:t xml:space="preserve"> </w:t>
      </w:r>
      <w:r>
        <w:rPr>
          <w:i/>
          <w:iCs/>
        </w:rPr>
        <w:t xml:space="preserve">U</w:t>
      </w:r>
      <w:r>
        <w:t xml:space="preserve">_perc − 𝔼[</w:t>
      </w:r>
      <w:r>
        <w:rPr>
          <w:i/>
          <w:iCs/>
        </w:rPr>
        <w:t xml:space="preserve">U</w:t>
      </w:r>
      <w:r>
        <w:t xml:space="preserve">_fit |</w:t>
      </w:r>
      <w:r>
        <w:t xml:space="preserve"> </w:t>
      </w:r>
      <w:r>
        <w:rPr>
          <w:i/>
          <w:iCs/>
        </w:rPr>
        <w:t xml:space="preserve">B</w:t>
      </w:r>
      <w:r>
        <w:t xml:space="preserve">]. We register a three-part research programme to test the hypothesis that Sweet Trap is a universal biological phenomenon produced by evolution: (</w:t>
      </w:r>
      <w:r>
        <w:rPr>
          <w:b/>
          <w:bCs/>
        </w:rPr>
        <w:t xml:space="preserve">Part 1</w:t>
      </w:r>
      <w:r>
        <w:t xml:space="preserve">) human Sweet Trap exists with measurable behavioural, physiological, and genetic signatures across six cohorts and five ancestries via trans-ancestry Mendelian randomisation; (</w:t>
      </w:r>
      <w:r>
        <w:rPr>
          <w:b/>
          <w:bCs/>
        </w:rPr>
        <w:t xml:space="preserve">Part 2</w:t>
      </w:r>
      <w:r>
        <w:t xml:space="preserve">) Sweet Trap is phylogenetically widespread across ≥ 50 animal cases and 6 phyla, with non-trivial phylogenetic signal (Blomberg’s</w:t>
      </w:r>
      <w:r>
        <w:t xml:space="preserve"> </w:t>
      </w:r>
      <w:r>
        <w:rPr>
          <w:i/>
          <w:iCs/>
        </w:rPr>
        <w:t xml:space="preserve">K</w:t>
      </w:r>
      <w:r>
        <w:t xml:space="preserve"> </w:t>
      </w:r>
      <w:r>
        <w:t xml:space="preserve">≥ 0.3) derivable from four axioms A1–A4 on reward-system function; (</w:t>
      </w:r>
      <w:r>
        <w:rPr>
          <w:b/>
          <w:bCs/>
        </w:rPr>
        <w:t xml:space="preserve">Part 3</w:t>
      </w:r>
      <w:r>
        <w:t xml:space="preserve">) reward signalling is implemented by</w:t>
      </w:r>
      <w:r>
        <w:t xml:space="preserve"> </w:t>
      </w:r>
      <w:r>
        <w:rPr>
          <w:b/>
          <w:bCs/>
        </w:rPr>
        <w:t xml:space="preserve">convergent functional architecture</w:t>
      </w:r>
      <w:r>
        <w:t xml:space="preserve"> </w:t>
      </w:r>
      <w:r>
        <w:t xml:space="preserve">across phyla — non-orthologous but architecturally equivalent receptor systems (vertebrate TAS1R / insect Gr / molluscan Ap-DA / cnidarian Nv-DA) — with</w:t>
      </w:r>
      <w:r>
        <w:t xml:space="preserve"> </w:t>
      </w:r>
      <w:r>
        <w:rPr>
          <w:b/>
          <w:bCs/>
        </w:rPr>
        <w:t xml:space="preserve">within-phylum conservation</w:t>
      </w:r>
      <w:r>
        <w:t xml:space="preserve"> </w:t>
      </w:r>
      <w:r>
        <w:t xml:space="preserve">of the underlying receptor families. We pre-register all predicted effect sizes, falsification criteria, and analytical decisions. Data sources and protocols are listed; deposit of raw data subject to cohort-specific constraints is linked at OSF.</w:t>
      </w:r>
    </w:p>
    <w:p>
      <w:r>
        <w:pict>
          <v:rect style="width:0;height:1.5pt" o:hralign="center" o:hrstd="t" o:hr="t"/>
        </w:pict>
      </w:r>
    </w:p>
    <w:bookmarkEnd w:id="9"/>
    <w:bookmarkStart w:id="10" w:name="introduction-300-words"/>
    <w:p>
      <w:pPr>
        <w:pStyle w:val="Heading2"/>
      </w:pPr>
      <w:r>
        <w:t xml:space="preserve">1. Introduction (≈300 words)</w:t>
      </w:r>
    </w:p>
    <w:p>
      <w:pPr>
        <w:pStyle w:val="FirstParagraph"/>
      </w:pPr>
      <w:r>
        <w:t xml:space="preserve">Across taxa, organisms systematically act on proximate cues that degrade their own fitness. Moths spiral into artificial lights; sea turtle hatchlings consume plastic they mis-identify by olfaction; neonicotinoid-laced nectar is preferentially foraged by bees despite colony-level cost; ultraprocessed foods and digitally-optimised recommender feeds measurably shorten human life expectancy. These phenomena have been described piecewise under disciplinary labels —</w:t>
      </w:r>
      <w:r>
        <w:t xml:space="preserve"> </w:t>
      </w:r>
      <w:r>
        <w:rPr>
          <w:i/>
          <w:iCs/>
        </w:rPr>
        <w:t xml:space="preserve">evolutionary trap</w:t>
      </w:r>
      <w:r>
        <w:t xml:space="preserve"> </w:t>
      </w:r>
      <w:r>
        <w:t xml:space="preserve">(Robertson &amp; Chalfoun 2016),</w:t>
      </w:r>
      <w:r>
        <w:t xml:space="preserve"> </w:t>
      </w:r>
      <w:r>
        <w:rPr>
          <w:i/>
          <w:iCs/>
        </w:rPr>
        <w:t xml:space="preserve">ecological trap</w:t>
      </w:r>
      <w:r>
        <w:t xml:space="preserve"> </w:t>
      </w:r>
      <w:r>
        <w:t xml:space="preserve">(Hale &amp; Swearer 2016),</w:t>
      </w:r>
      <w:r>
        <w:t xml:space="preserve"> </w:t>
      </w:r>
      <w:r>
        <w:rPr>
          <w:i/>
          <w:iCs/>
        </w:rPr>
        <w:t xml:space="preserve">sensory exploitation</w:t>
      </w:r>
      <w:r>
        <w:t xml:space="preserve"> </w:t>
      </w:r>
      <w:r>
        <w:t xml:space="preserve">(Ryan &amp; Cummings 2013),</w:t>
      </w:r>
      <w:r>
        <w:t xml:space="preserve"> </w:t>
      </w:r>
      <w:r>
        <w:rPr>
          <w:i/>
          <w:iCs/>
        </w:rPr>
        <w:t xml:space="preserve">supernormal stimulus</w:t>
      </w:r>
      <w:r>
        <w:t xml:space="preserve"> </w:t>
      </w:r>
      <w:r>
        <w:t xml:space="preserve">(Tinbergen 1951),</w:t>
      </w:r>
      <w:r>
        <w:t xml:space="preserve"> </w:t>
      </w:r>
      <w:r>
        <w:rPr>
          <w:i/>
          <w:iCs/>
        </w:rPr>
        <w:t xml:space="preserve">evolutionary mismatch</w:t>
      </w:r>
      <w:r>
        <w:t xml:space="preserve"> </w:t>
      </w:r>
      <w:r>
        <w:t xml:space="preserve">(Nesse 2005; Li &amp; van Vugt 2018). Each describes an aspect of reward–fitness decoupling in a specific taxonomic or methodological framing. A unifying empirical question — is this phenomenon phylogenetically inherited, molecularly conserved, or independently convergent? — has not been answered because no single study has combined quantitative phylogenetic analysis, cross-phylum molecular scan, and human-scale causal evidence on a common operational measure.</w:t>
      </w:r>
    </w:p>
    <w:p>
      <w:pPr>
        <w:pStyle w:val="BodyText"/>
      </w:pPr>
      <w:r>
        <w:t xml:space="preserve">We propose</w:t>
      </w:r>
      <w:r>
        <w:t xml:space="preserve"> </w:t>
      </w:r>
      <w:r>
        <w:rPr>
          <w:b/>
          <w:bCs/>
        </w:rPr>
        <w:t xml:space="preserve">Sweet Trap</w:t>
      </w:r>
      <w:r>
        <w:t xml:space="preserve"> </w:t>
      </w:r>
      <w:r>
        <w:t xml:space="preserve">as a cross-species construct unifying these literatures via the operational scalar Δ_ST =</w:t>
      </w:r>
      <w:r>
        <w:t xml:space="preserve"> </w:t>
      </w:r>
      <w:r>
        <w:rPr>
          <w:i/>
          <w:iCs/>
        </w:rPr>
        <w:t xml:space="preserve">U</w:t>
      </w:r>
      <w:r>
        <w:t xml:space="preserve">_perc − 𝔼[</w:t>
      </w:r>
      <w:r>
        <w:rPr>
          <w:i/>
          <w:iCs/>
        </w:rPr>
        <w:t xml:space="preserve">U</w:t>
      </w:r>
      <w:r>
        <w:t xml:space="preserve">_fit |</w:t>
      </w:r>
      <w:r>
        <w:t xml:space="preserve"> </w:t>
      </w:r>
      <w:r>
        <w:rPr>
          <w:i/>
          <w:iCs/>
        </w:rPr>
        <w:t xml:space="preserve">B</w:t>
      </w:r>
      <w:r>
        <w:t xml:space="preserve">], where</w:t>
      </w:r>
      <w:r>
        <w:t xml:space="preserve"> </w:t>
      </w:r>
      <w:r>
        <w:rPr>
          <w:i/>
          <w:iCs/>
        </w:rPr>
        <w:t xml:space="preserve">U</w:t>
      </w:r>
      <w:r>
        <w:t xml:space="preserve">_perc is the agent’s proximate reward signal and 𝔼[</w:t>
      </w:r>
      <w:r>
        <w:rPr>
          <w:i/>
          <w:iCs/>
        </w:rPr>
        <w:t xml:space="preserve">U</w:t>
      </w:r>
      <w:r>
        <w:t xml:space="preserve">_fit |</w:t>
      </w:r>
      <w:r>
        <w:t xml:space="preserve"> </w:t>
      </w:r>
      <w:r>
        <w:rPr>
          <w:i/>
          <w:iCs/>
        </w:rPr>
        <w:t xml:space="preserve">B</w:t>
      </w:r>
      <w:r>
        <w:t xml:space="preserve">] is its fitness expectation given knowledge state</w:t>
      </w:r>
      <w:r>
        <w:t xml:space="preserve"> </w:t>
      </w:r>
      <w:r>
        <w:rPr>
          <w:i/>
          <w:iCs/>
        </w:rPr>
        <w:t xml:space="preserve">B</w:t>
      </w:r>
      <w:r>
        <w:t xml:space="preserve">. We place the construct under four axioms (A1–A4), derive from them a cross-species prediction on phylogenetic signal (</w:t>
      </w:r>
      <w:r>
        <w:rPr>
          <w:i/>
          <w:iCs/>
        </w:rPr>
        <w:t xml:space="preserve">K</w:t>
      </w:r>
      <w:r>
        <w:t xml:space="preserve"> </w:t>
      </w:r>
      <w:r>
        <w:t xml:space="preserve">&gt; 0.3), and register a three-part empirical programme against the construct. The thesis to be tested — that Sweet Trap is a biologically universal phenomenon</w:t>
      </w:r>
      <w:r>
        <w:t xml:space="preserve"> </w:t>
      </w:r>
      <w:r>
        <w:rPr>
          <w:i/>
          <w:iCs/>
        </w:rPr>
        <w:t xml:space="preserve">shaped by evolution</w:t>
      </w:r>
      <w:r>
        <w:t xml:space="preserve"> </w:t>
      </w:r>
      <w:r>
        <w:t xml:space="preserve">— makes specific, falsifiable predictions that extend beyond any single prior framework.</w:t>
      </w:r>
    </w:p>
    <w:p>
      <w:pPr>
        <w:pStyle w:val="BodyText"/>
      </w:pPr>
      <w:r>
        <w:t xml:space="preserve">The purpose of this preprint is to</w:t>
      </w:r>
      <w:r>
        <w:t xml:space="preserve"> </w:t>
      </w:r>
      <w:r>
        <w:rPr>
          <w:b/>
          <w:bCs/>
        </w:rPr>
        <w:t xml:space="preserve">establish priority</w:t>
      </w:r>
      <w:r>
        <w:t xml:space="preserve"> </w:t>
      </w:r>
      <w:r>
        <w:t xml:space="preserve">on this research agenda and to pre-register the full analytical protocol on OSF concurrent with bioRxiv deposit. Full manuscript, code, and data will be released at the 12-week submission point.</w:t>
      </w:r>
    </w:p>
    <w:p>
      <w:r>
        <w:pict>
          <v:rect style="width:0;height:1.5pt" o:hralign="center" o:hrstd="t" o:hr="t"/>
        </w:pict>
      </w:r>
    </w:p>
    <w:bookmarkEnd w:id="10"/>
    <w:bookmarkStart w:id="14" w:name="framework-500-words"/>
    <w:p>
      <w:pPr>
        <w:pStyle w:val="Heading2"/>
      </w:pPr>
      <w:r>
        <w:t xml:space="preserve">2. Framework (≈500 words)</w:t>
      </w:r>
    </w:p>
    <w:bookmarkStart w:id="11" w:name="axioms-and-the-operational-scalar"/>
    <w:p>
      <w:pPr>
        <w:pStyle w:val="Heading3"/>
      </w:pPr>
      <w:r>
        <w:t xml:space="preserve">2.1 Axioms and the operational scalar</w:t>
      </w:r>
    </w:p>
    <w:p>
      <w:pPr>
        <w:pStyle w:val="FirstParagraph"/>
      </w:pPr>
      <w:r>
        <w:t xml:space="preserve">We adopt four axioms on reward-system function, retained from the Sweet Trap formalism (v3.x) and extended here:</w:t>
      </w:r>
    </w:p>
    <w:p>
      <w:pPr>
        <w:pStyle w:val="BodyText"/>
      </w:pPr>
      <w:r>
        <w:rPr>
          <w:b/>
          <w:bCs/>
        </w:rPr>
        <w:t xml:space="preserve">A1 (Ancestral Calibration).</w:t>
      </w:r>
      <w:r>
        <w:t xml:space="preserve"> </w:t>
      </w:r>
      <w:r>
        <w:rPr>
          <w:i/>
          <w:iCs/>
        </w:rPr>
        <w:t xml:space="preserve">U</w:t>
      </w:r>
      <w:r>
        <w:t xml:space="preserve">_perc =</w:t>
      </w:r>
      <w:r>
        <w:t xml:space="preserve"> </w:t>
      </w:r>
      <w:r>
        <w:rPr>
          <w:i/>
          <w:iCs/>
        </w:rPr>
        <w:t xml:space="preserve">φ</w:t>
      </w:r>
      <w:r>
        <w:t xml:space="preserve">(</w:t>
      </w:r>
      <w:r>
        <w:rPr>
          <w:i/>
          <w:iCs/>
        </w:rPr>
        <w:t xml:space="preserve">s</w:t>
      </w:r>
      <w:r>
        <w:t xml:space="preserve">,</w:t>
      </w:r>
      <w:r>
        <w:t xml:space="preserve"> </w:t>
      </w:r>
      <w:r>
        <w:rPr>
          <w:b/>
          <w:bCs/>
        </w:rPr>
        <w:t xml:space="preserve">g</w:t>
      </w:r>
      <w:r>
        <w:t xml:space="preserve">) where</w:t>
      </w:r>
      <w:r>
        <w:t xml:space="preserve"> </w:t>
      </w:r>
      <w:r>
        <w:rPr>
          <w:i/>
          <w:iCs/>
        </w:rPr>
        <w:t xml:space="preserve">φ</w:t>
      </w:r>
      <w:r>
        <w:t xml:space="preserve"> </w:t>
      </w:r>
      <w:r>
        <w:t xml:space="preserve">is a monotone noisy encoder of</w:t>
      </w:r>
      <w:r>
        <w:t xml:space="preserve"> </w:t>
      </w:r>
      <w:r>
        <w:rPr>
          <w:i/>
          <w:iCs/>
        </w:rPr>
        <w:t xml:space="preserve">U</w:t>
      </w:r>
      <w:r>
        <w:t xml:space="preserve">_fit in the ancestral signal distribution</w:t>
      </w:r>
      <w:r>
        <w:t xml:space="preserve"> </w:t>
      </w:r>
      <w:r>
        <w:rPr>
          <w:i/>
          <w:iCs/>
        </w:rPr>
        <w:t xml:space="preserve">S</w:t>
      </w:r>
      <w:r>
        <w:t xml:space="preserve">_anc, with receptor genotype</w:t>
      </w:r>
      <w:r>
        <w:t xml:space="preserve"> </w:t>
      </w:r>
      <w:r>
        <w:rPr>
          <w:b/>
          <w:bCs/>
        </w:rPr>
        <w:t xml:space="preserve">g</w:t>
      </w:r>
      <w:r>
        <w:t xml:space="preserve">.</w:t>
      </w:r>
      <w:r>
        <w:t xml:space="preserve"> </w:t>
      </w:r>
      <w:r>
        <w:rPr>
          <w:b/>
          <w:bCs/>
        </w:rPr>
        <w:t xml:space="preserve">A2 (Environmental Decoupling).</w:t>
      </w:r>
      <w:r>
        <w:t xml:space="preserve"> </w:t>
      </w:r>
      <w:r>
        <w:t xml:space="preserve">After separation time</w:t>
      </w:r>
      <w:r>
        <w:t xml:space="preserve"> </w:t>
      </w:r>
      <w:r>
        <w:rPr>
          <w:i/>
          <w:iCs/>
        </w:rPr>
        <w:t xml:space="preserve">t</w:t>
      </w:r>
      <w:r>
        <w:t xml:space="preserve">_sep, signals in</w:t>
      </w:r>
      <w:r>
        <w:t xml:space="preserve"> </w:t>
      </w:r>
      <w:r>
        <w:rPr>
          <w:i/>
          <w:iCs/>
        </w:rPr>
        <w:t xml:space="preserve">S</w:t>
      </w:r>
      <w:r>
        <w:t xml:space="preserve">_mod outside</w:t>
      </w:r>
      <w:r>
        <w:t xml:space="preserve"> </w:t>
      </w:r>
      <w:r>
        <w:rPr>
          <w:i/>
          <w:iCs/>
        </w:rPr>
        <w:t xml:space="preserve">S</w:t>
      </w:r>
      <w:r>
        <w:t xml:space="preserve">_anc no longer track fitness with adequate correlation; the wedge Δ_ST =</w:t>
      </w:r>
      <w:r>
        <w:t xml:space="preserve"> </w:t>
      </w:r>
      <w:r>
        <w:rPr>
          <w:i/>
          <w:iCs/>
        </w:rPr>
        <w:t xml:space="preserve">U</w:t>
      </w:r>
      <w:r>
        <w:t xml:space="preserve">_perc − 𝔼[</w:t>
      </w:r>
      <w:r>
        <w:rPr>
          <w:i/>
          <w:iCs/>
        </w:rPr>
        <w:t xml:space="preserve">U</w:t>
      </w:r>
      <w:r>
        <w:t xml:space="preserve">_fit] emerges.</w:t>
      </w:r>
      <w:r>
        <w:t xml:space="preserve"> </w:t>
      </w:r>
      <w:r>
        <w:rPr>
          <w:b/>
          <w:bCs/>
        </w:rPr>
        <w:t xml:space="preserve">A3 (Endorsement Inertia, scope-defining).</w:t>
      </w:r>
      <w:r>
        <w:t xml:space="preserve"> </w:t>
      </w:r>
      <w:r>
        <w:t xml:space="preserve">Behaviour maximises (1 −</w:t>
      </w:r>
      <w:r>
        <w:t xml:space="preserve"> </w:t>
      </w:r>
      <w:r>
        <w:rPr>
          <w:i/>
          <w:iCs/>
        </w:rPr>
        <w:t xml:space="preserve">w</w:t>
      </w:r>
      <w:r>
        <w:t xml:space="preserve">)</w:t>
      </w:r>
      <w:r>
        <w:rPr>
          <w:i/>
          <w:iCs/>
        </w:rPr>
        <w:t xml:space="preserve">U</w:t>
      </w:r>
      <w:r>
        <w:t xml:space="preserve">_perc +</w:t>
      </w:r>
      <w:r>
        <w:t xml:space="preserve"> </w:t>
      </w:r>
      <w:r>
        <w:rPr>
          <w:i/>
          <w:iCs/>
        </w:rPr>
        <w:t xml:space="preserve">w</w:t>
      </w:r>
      <w:r>
        <w:t xml:space="preserve">𝔼[</w:t>
      </w:r>
      <w:r>
        <w:rPr>
          <w:i/>
          <w:iCs/>
        </w:rPr>
        <w:t xml:space="preserve">U</w:t>
      </w:r>
      <w:r>
        <w:t xml:space="preserve">_fit |</w:t>
      </w:r>
      <w:r>
        <w:t xml:space="preserve"> </w:t>
      </w:r>
      <w:r>
        <w:rPr>
          <w:i/>
          <w:iCs/>
        </w:rPr>
        <w:t xml:space="preserve">B</w:t>
      </w:r>
      <w:r>
        <w:t xml:space="preserve">],</w:t>
      </w:r>
      <w:r>
        <w:t xml:space="preserve"> </w:t>
      </w:r>
      <w:r>
        <w:rPr>
          <w:i/>
          <w:iCs/>
        </w:rPr>
        <w:t xml:space="preserve">w</w:t>
      </w:r>
      <w:r>
        <w:t xml:space="preserve"> </w:t>
      </w:r>
      <w:r>
        <w:t xml:space="preserve">∈ [0,</w:t>
      </w:r>
      <w:r>
        <w:t xml:space="preserve"> </w:t>
      </w:r>
      <w:r>
        <w:rPr>
          <w:i/>
          <w:iCs/>
        </w:rPr>
        <w:t xml:space="preserve">w</w:t>
      </w:r>
      <w:r>
        <w:t xml:space="preserve">_max &lt; 1/2].</w:t>
      </w:r>
      <w:r>
        <w:t xml:space="preserve"> </w:t>
      </w:r>
      <w:r>
        <w:rPr>
          <w:b/>
          <w:bCs/>
        </w:rPr>
        <w:t xml:space="preserve">Animal limit:</w:t>
      </w:r>
      <w:r>
        <w:t xml:space="preserve"> </w:t>
      </w:r>
      <w:r>
        <w:rPr>
          <w:i/>
          <w:iCs/>
        </w:rPr>
        <w:t xml:space="preserve">w</w:t>
      </w:r>
      <w:r>
        <w:t xml:space="preserve"> </w:t>
      </w:r>
      <w:r>
        <w:t xml:space="preserve">→ 0.</w:t>
      </w:r>
      <w:r>
        <w:t xml:space="preserve"> </w:t>
      </w:r>
      <w:r>
        <w:rPr>
          <w:b/>
          <w:bCs/>
        </w:rPr>
        <w:t xml:space="preserve">A4 (Partial Cost Visibility).</w:t>
      </w:r>
      <w:r>
        <w:t xml:space="preserve"> </w:t>
      </w:r>
      <w:r>
        <w:t xml:space="preserve">Effective cost</w:t>
      </w:r>
      <w:r>
        <w:t xml:space="preserve"> </w:t>
      </w:r>
      <w:r>
        <w:rPr>
          <w:i/>
          <w:iCs/>
        </w:rPr>
        <w:t xml:space="preserve">c</w:t>
      </w:r>
      <w:r>
        <w:t xml:space="preserve">_eff(</w:t>
      </w:r>
      <w:r>
        <w:rPr>
          <w:i/>
          <w:iCs/>
        </w:rPr>
        <w:t xml:space="preserve">τ</w:t>
      </w:r>
      <w:r>
        <w:t xml:space="preserve">) =</w:t>
      </w:r>
      <w:r>
        <w:t xml:space="preserve"> </w:t>
      </w:r>
      <w:r>
        <w:rPr>
          <w:i/>
          <w:iCs/>
        </w:rPr>
        <w:t xml:space="preserve">δ</w:t>
      </w:r>
      <w:r>
        <w:t xml:space="preserve">(</w:t>
      </w:r>
      <w:r>
        <w:rPr>
          <w:i/>
          <w:iCs/>
        </w:rPr>
        <w:t xml:space="preserve">τ</w:t>
      </w:r>
      <w:r>
        <w:t xml:space="preserve">)</w:t>
      </w:r>
      <w:r>
        <w:rPr>
          <w:i/>
          <w:iCs/>
        </w:rPr>
        <w:t xml:space="preserve">c</w:t>
      </w:r>
      <w:r>
        <w:t xml:space="preserve"> </w:t>
      </w:r>
      <w:r>
        <w:t xml:space="preserve">with</w:t>
      </w:r>
      <w:r>
        <w:t xml:space="preserve"> </w:t>
      </w:r>
      <w:r>
        <w:rPr>
          <w:i/>
          <w:iCs/>
        </w:rPr>
        <w:t xml:space="preserve">δ</w:t>
      </w:r>
      <w:r>
        <w:t xml:space="preserve">′ &lt; 0; for</w:t>
      </w:r>
      <w:r>
        <w:t xml:space="preserve"> </w:t>
      </w:r>
      <w:r>
        <w:rPr>
          <w:i/>
          <w:iCs/>
        </w:rPr>
        <w:t xml:space="preserve">τ</w:t>
      </w:r>
      <w:r>
        <w:t xml:space="preserve"> </w:t>
      </w:r>
      <w:r>
        <w:t xml:space="preserve">≫ generation time</w:t>
      </w:r>
      <w:r>
        <w:t xml:space="preserve"> </w:t>
      </w:r>
      <w:r>
        <w:rPr>
          <w:i/>
          <w:iCs/>
        </w:rPr>
        <w:t xml:space="preserve">T</w:t>
      </w:r>
      <w:r>
        <w:t xml:space="preserve">_gen,</w:t>
      </w:r>
      <w:r>
        <w:t xml:space="preserve"> </w:t>
      </w:r>
      <w:r>
        <w:rPr>
          <w:i/>
          <w:iCs/>
        </w:rPr>
        <w:t xml:space="preserve">δ</w:t>
      </w:r>
      <w:r>
        <w:t xml:space="preserve">(</w:t>
      </w:r>
      <w:r>
        <w:rPr>
          <w:i/>
          <w:iCs/>
        </w:rPr>
        <w:t xml:space="preserve">τ</w:t>
      </w:r>
      <w:r>
        <w:t xml:space="preserve">) → 0.</w:t>
      </w:r>
    </w:p>
    <w:p>
      <w:pPr>
        <w:pStyle w:val="BodyText"/>
      </w:pPr>
      <w:r>
        <w:t xml:space="preserve">The scalar Δ_ST =</w:t>
      </w:r>
      <w:r>
        <w:t xml:space="preserve"> </w:t>
      </w:r>
      <w:r>
        <w:rPr>
          <w:i/>
          <w:iCs/>
        </w:rPr>
        <w:t xml:space="preserve">U</w:t>
      </w:r>
      <w:r>
        <w:t xml:space="preserve">_perc − 𝔼[</w:t>
      </w:r>
      <w:r>
        <w:rPr>
          <w:i/>
          <w:iCs/>
        </w:rPr>
        <w:t xml:space="preserve">U</w:t>
      </w:r>
      <w:r>
        <w:t xml:space="preserve">_fit |</w:t>
      </w:r>
      <w:r>
        <w:t xml:space="preserve"> </w:t>
      </w:r>
      <w:r>
        <w:rPr>
          <w:i/>
          <w:iCs/>
        </w:rPr>
        <w:t xml:space="preserve">B</w:t>
      </w:r>
      <w:r>
        <w:t xml:space="preserve">] is the keystone operational measure. It is signed, continuous, and applicable across vertebrate, invertebrate, and human cases via the F1–F4 coding scheme (full scheme in OSF protocol).</w:t>
      </w:r>
    </w:p>
    <w:bookmarkEnd w:id="11"/>
    <w:bookmarkStart w:id="12" w:name="X4e0a186b0b5747316645f400d8770fc4f5b99b7"/>
    <w:p>
      <w:pPr>
        <w:pStyle w:val="Heading3"/>
      </w:pPr>
      <w:r>
        <w:t xml:space="preserve">2.2 Why the label: convergent-architecture rationale</w:t>
      </w:r>
    </w:p>
    <w:p>
      <w:pPr>
        <w:pStyle w:val="FirstParagraph"/>
      </w:pPr>
      <w:r>
        <w:t xml:space="preserve">Sweet Trap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claimed to require deep sequence conservation of reward-signalling machinery across phyla. The underlying molecular data (Robertson et al. 2003; Yamamoto &amp; Vernier 2011; Feijó et al. 2019; Chao et al. 2020) is inconsistent with that framing: insect gustatory receptors (Gr5a/Gr64 family) are non-orthologous to vertebrate sweet-taste receptors (TAS1R1/2/3); vertebrate–invertebrate dopamine receptor pairwise identity at ligand-binding domain is 40–50 %, not ≥ 70 %. Instead, we claim</w:t>
      </w:r>
      <w:r>
        <w:t xml:space="preserve"> </w:t>
      </w:r>
      <w:r>
        <w:rPr>
          <w:b/>
          <w:bCs/>
        </w:rPr>
        <w:t xml:space="preserve">cross-phylum convergent functional architecture</w:t>
      </w:r>
      <w:r>
        <w:t xml:space="preserve"> </w:t>
      </w:r>
      <w:r>
        <w:t xml:space="preserve">— paraphyletic receptor families that share (i) GPCR class-A seven-transmembrane topology, (ii) Venus flytrap or equivalent ligand-binding module architecture, (iii) G-protein → cAMP/PKA transduction. Convergence is a</w:t>
      </w:r>
      <w:r>
        <w:t xml:space="preserve"> </w:t>
      </w:r>
      <w:r>
        <w:rPr>
          <w:i/>
          <w:iCs/>
        </w:rPr>
        <w:t xml:space="preserve">stronger</w:t>
      </w:r>
      <w:r>
        <w:t xml:space="preserve"> </w:t>
      </w:r>
      <w:r>
        <w:t xml:space="preserve">evolutionary claim than conservation: a conserved trait is compatible with drift plus historical contingency; a convergent trait requires repeated selection for the same functional outcome. Our thesis —</w:t>
      </w:r>
      <w:r>
        <w:t xml:space="preserve"> </w:t>
      </w:r>
      <w:r>
        <w:rPr>
          <w:i/>
          <w:iCs/>
        </w:rPr>
        <w:t xml:space="preserve">Sweet Trap is shaped by evolution</w:t>
      </w:r>
      <w:r>
        <w:t xml:space="preserve"> </w:t>
      </w:r>
      <w:r>
        <w:t xml:space="preserve">— demands the latter signature.</w:t>
      </w:r>
    </w:p>
    <w:bookmarkEnd w:id="12"/>
    <w:bookmarkStart w:id="13" w:name="X668d99522b942fdc7ddffb822a68448fba2b4e3"/>
    <w:p>
      <w:pPr>
        <w:pStyle w:val="Heading3"/>
      </w:pPr>
      <w:r>
        <w:t xml:space="preserve">2.3 H3 phylogenetic-signal prediction derived from A1–A4</w:t>
      </w:r>
    </w:p>
    <w:p>
      <w:pPr>
        <w:pStyle w:val="FirstParagraph"/>
      </w:pPr>
      <w:r>
        <w:t xml:space="preserve">Under the decomposition Δ_ST,</w:t>
      </w:r>
      <w:r>
        <w:rPr>
          <w:i/>
          <w:iCs/>
        </w:rPr>
        <w:t xml:space="preserve">i</w:t>
      </w:r>
      <w:r>
        <w:t xml:space="preserve"> </w:t>
      </w:r>
      <w:r>
        <w:t xml:space="preserve">= γ·</w:t>
      </w:r>
      <w:r>
        <w:rPr>
          <w:i/>
          <w:iCs/>
        </w:rPr>
        <w:t xml:space="preserve">g_i</w:t>
      </w:r>
      <w:r>
        <w:t xml:space="preserve"> </w:t>
      </w:r>
      <w:r>
        <w:t xml:space="preserve">+ ε_i(S_mod,i) and standard BM-plus-error modelling (Revell et al. 2008), we derive the Blomberg-K prediction: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r>
            <m:t>K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γ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σ</m:t>
                  </m:r>
                </m:e>
                <m:sub>
                  <m:r>
                    <m:t>g</m:t>
                  </m:r>
                </m:sub>
                <m:sup>
                  <m:r>
                    <m:t>2</m:t>
                  </m:r>
                </m:sup>
              </m:sSubSup>
            </m:num>
            <m:den>
              <m:sSup>
                <m:e>
                  <m:r>
                    <m:t>γ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σ</m:t>
                  </m:r>
                </m:e>
                <m:sub>
                  <m:r>
                    <m:t>g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σ</m:t>
                  </m:r>
                </m:e>
                <m:sub>
                  <m:r>
                    <m:t>ϵ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/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Σ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Bounding σ²_ε/(γ²σ²_g) ∈ [0.4, 2.5] from A1 (lower bound on g-contribution) + A2 (lower bound on ε-contribution) yields</w:t>
      </w:r>
      <w:r>
        <w:t xml:space="preserve"> </w:t>
      </w:r>
      <w:r>
        <w:rPr>
          <w:b/>
          <w:bCs/>
        </w:rPr>
        <w:t xml:space="preserve">K ∈ [0.29, 0.71] with point prediction K ≈ 0.5</w:t>
      </w:r>
      <w:r>
        <w:t xml:space="preserve">. The prediction K &gt; 0.30 carries &gt; 80 % posterior probability under A1-A4-consistent parameter space (full derivation at Path B).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9" w:name="Xe912ccae67fd1780634ba8a3d160e513d6d814e"/>
    <w:p>
      <w:pPr>
        <w:pStyle w:val="Heading2"/>
      </w:pPr>
      <w:r>
        <w:t xml:space="preserve">3. Three-Part Evidence Architecture (≈600 words)</w:t>
      </w:r>
    </w:p>
    <w:bookmarkStart w:id="15" w:name="X7d7a237c57c474e355a3624cf9bfb7485250b09"/>
    <w:p>
      <w:pPr>
        <w:pStyle w:val="Heading3"/>
      </w:pPr>
      <w:r>
        <w:t xml:space="preserve">3.1 Part 1 — Human Sweet Trap (trans-ancestry, multi-cohort)</w:t>
      </w:r>
    </w:p>
    <w:p>
      <w:pPr>
        <w:pStyle w:val="FirstParagraph"/>
      </w:pPr>
      <w:r>
        <w:rPr>
          <w:b/>
          <w:bCs/>
        </w:rPr>
        <w:t xml:space="preserve">Data.</w:t>
      </w:r>
      <w:r>
        <w:t xml:space="preserve"> </w:t>
      </w:r>
      <w:r>
        <w:t xml:space="preserve">NHANES 1999-2023 (US, dietary + biomarker + mortality), UK Biobank (n ≈ 500 K behavioural + biomarker), HRS (US retirees), ELSA (UK), SHARE (27 European countries), Add Health Wave V (US adolescent→midlife), FinnGen R12 + BioBank Japan + Million Veterans + All of Us (trans-ancestry MR). Six cohorts, 5 ancestries.</w:t>
      </w:r>
    </w:p>
    <w:p>
      <w:pPr>
        <w:pStyle w:val="BodyText"/>
      </w:pPr>
      <w:r>
        <w:rPr>
          <w:b/>
          <w:bCs/>
        </w:rPr>
        <w:t xml:space="preserve">Analysis.</w:t>
      </w:r>
      <w:r>
        <w:t xml:space="preserve"> </w:t>
      </w:r>
      <w:r>
        <w:t xml:space="preserve">Random-effects meta-regression of Δ_ST-relevant exposures (aspirational reward → fitness proxy) across cohorts; biomarker dose-response (NHANES + UKBB); trans-ancestry MR (IVW + MR-Egger + weighted median + MVMR + Steiger) across 5 ancestries for 5 exposure-outcome pairs.</w:t>
      </w:r>
    </w:p>
    <w:p>
      <w:pPr>
        <w:pStyle w:val="BodyText"/>
      </w:pPr>
      <w:r>
        <w:rPr>
          <w:b/>
          <w:bCs/>
        </w:rPr>
        <w:t xml:space="preserve">Pre-registered predicted statistics:</w:t>
      </w:r>
      <w:r>
        <w:t xml:space="preserve"> </w:t>
      </w:r>
      <w:r>
        <w:t xml:space="preserve">pooled β ≥ 0.10 (direction-specified, 95% CI excludes 0); ≥ 3/5 exposure-outcome pairs concordant across ≥ 3/5 ancestries; NHANES + UKBB biomarker top-vs-bottom decile separation ≥ 0.3 SD on HbA1c, ≥ 0.4 SD on BMI.</w:t>
      </w:r>
    </w:p>
    <w:bookmarkEnd w:id="15"/>
    <w:bookmarkStart w:id="16" w:name="X9c7d43a907f2f6f5e7537c361f90db47a92b061"/>
    <w:p>
      <w:pPr>
        <w:pStyle w:val="Heading3"/>
      </w:pPr>
      <w:r>
        <w:t xml:space="preserve">3.2 Part 2 — Cross-Animal-Taxa Distribution (meta-analysis + phylogenetic)</w:t>
      </w:r>
    </w:p>
    <w:p>
      <w:pPr>
        <w:pStyle w:val="FirstParagraph"/>
      </w:pPr>
      <w:r>
        <w:rPr>
          <w:b/>
          <w:bCs/>
        </w:rPr>
        <w:t xml:space="preserve">Data.</w:t>
      </w:r>
      <w:r>
        <w:t xml:space="preserve"> </w:t>
      </w:r>
      <w:r>
        <w:t xml:space="preserve">Systematic review (PRISMA) expansion from our 20-case v2 dataset to ≥ 50 animal Sweet Trap cases. Database: PubMed + Web of Science + Scopus + bioRxiv, 1995-2026; keyword:</w:t>
      </w:r>
      <w:r>
        <w:t xml:space="preserve"> </w:t>
      </w:r>
      <w:r>
        <w:rPr>
          <w:i/>
          <w:iCs/>
        </w:rPr>
        <w:t xml:space="preserve">ecological trap</w:t>
      </w:r>
      <w:r>
        <w:t xml:space="preserve">,</w:t>
      </w:r>
      <w:r>
        <w:t xml:space="preserve"> </w:t>
      </w:r>
      <w:r>
        <w:rPr>
          <w:i/>
          <w:iCs/>
        </w:rPr>
        <w:t xml:space="preserve">evolutionary trap</w:t>
      </w:r>
      <w:r>
        <w:t xml:space="preserve">,</w:t>
      </w:r>
      <w:r>
        <w:t xml:space="preserve"> </w:t>
      </w:r>
      <w:r>
        <w:rPr>
          <w:i/>
          <w:iCs/>
        </w:rPr>
        <w:t xml:space="preserve">sensory trap</w:t>
      </w:r>
      <w:r>
        <w:t xml:space="preserve">,</w:t>
      </w:r>
      <w:r>
        <w:t xml:space="preserve"> </w:t>
      </w:r>
      <w:r>
        <w:rPr>
          <w:i/>
          <w:iCs/>
        </w:rPr>
        <w:t xml:space="preserve">supernormal stimulus</w:t>
      </w:r>
      <w:r>
        <w:t xml:space="preserve">,</w:t>
      </w:r>
      <w:r>
        <w:t xml:space="preserve"> </w:t>
      </w:r>
      <w:r>
        <w:rPr>
          <w:i/>
          <w:iCs/>
        </w:rPr>
        <w:t xml:space="preserve">reward mismatch</w:t>
      </w:r>
      <w:r>
        <w:t xml:space="preserve">,</w:t>
      </w:r>
      <w:r>
        <w:t xml:space="preserve"> </w:t>
      </w:r>
      <w:r>
        <w:rPr>
          <w:i/>
          <w:iCs/>
        </w:rPr>
        <w:t xml:space="preserve">maladaptive attraction</w:t>
      </w:r>
      <w:r>
        <w:t xml:space="preserve">. Cases coded on F1-F4 signatures by two blind coders; 18-case κ = 1.00 established in prior work. Phylogeny: TimeTree 5 + Open Tree of Life. Life-history: PanTHERIA (mammals), AnAge (vertebrates), Arthropod Body Size Database.</w:t>
      </w:r>
    </w:p>
    <w:p>
      <w:pPr>
        <w:pStyle w:val="BodyText"/>
      </w:pPr>
      <w:r>
        <w:rPr>
          <w:b/>
          <w:bCs/>
        </w:rPr>
        <w:t xml:space="preserve">Analysis.</w:t>
      </w:r>
      <w:r>
        <w:t xml:space="preserve"> </w:t>
      </w:r>
      <w:r>
        <w:t xml:space="preserve">Random-effects DL meta-regression on Δ_ST; Blomberg’s K and Pagel’s λ with 95 % bootstrap CI; stochastic character mapping (SIMMAP); PGLS regression of Δ_ST on generation time, body mass, niche breadth.</w:t>
      </w:r>
    </w:p>
    <w:p>
      <w:pPr>
        <w:pStyle w:val="BodyText"/>
      </w:pPr>
      <w:r>
        <w:rPr>
          <w:b/>
          <w:bCs/>
        </w:rPr>
        <w:t xml:space="preserve">Pre-registered predicted statistics.</w:t>
      </w:r>
      <w:r>
        <w:t xml:space="preserve"> </w:t>
      </w:r>
      <w:r>
        <w:t xml:space="preserve">Pooled Δ_ST ∈ [+0.40, +0.70] (N ≥ 50);</w:t>
      </w:r>
      <w:r>
        <w:t xml:space="preserve"> </w:t>
      </w:r>
      <w:r>
        <w:rPr>
          <w:b/>
          <w:bCs/>
        </w:rPr>
        <w:t xml:space="preserve">Blomberg’s K ∈ [0.29, 0.71] with point prediction ≈ 0.5 and ≥ 80 % posterior probability of K &gt; 0.30 under A1-A4; Pagel’s λ with likelihood-ratio p &lt; 0.05</w:t>
      </w:r>
      <w:r>
        <w:t xml:space="preserve">; PGLS β on generation time positive at p &lt; 0.10.</w:t>
      </w:r>
    </w:p>
    <w:bookmarkEnd w:id="16"/>
    <w:bookmarkStart w:id="17" w:name="X33a2a2ee4ff09f3fded2faf49c9926203dd53d7"/>
    <w:p>
      <w:pPr>
        <w:pStyle w:val="Heading3"/>
      </w:pPr>
      <w:r>
        <w:t xml:space="preserve">3.3 Part 3 — Convergent Functional Architecture with Within-Phylum Conservation (molecular)</w:t>
      </w:r>
    </w:p>
    <w:p>
      <w:pPr>
        <w:pStyle w:val="FirstParagraph"/>
      </w:pPr>
      <w:r>
        <w:rPr>
          <w:b/>
          <w:bCs/>
        </w:rPr>
        <w:t xml:space="preserve">Two-tier structure.</w:t>
      </w:r>
    </w:p>
    <w:p>
      <w:pPr>
        <w:pStyle w:val="BodyText"/>
      </w:pPr>
      <w:r>
        <w:rPr>
          <w:b/>
          <w:bCs/>
        </w:rPr>
        <w:t xml:space="preserve">Tier H4a</w:t>
      </w:r>
      <w:r>
        <w:t xml:space="preserve"> </w:t>
      </w:r>
      <w:r>
        <w:t xml:space="preserve">(positive control): within-phylum conservation. Ensembl + Ensembl Metazoa + OrthoDB ortholog recovery of reward receptors (D1-D5, OPRM1, TAS1R2/3, orexin receptors; DopR1/R2/EcR, Gr5a-Gr64 family) within Chordata and within Arthropoda. PAML codeml branch-model dN/dS on ligand-binding domains (LBD mask from InterPro IPR000073 / IPR000276). Wilcoxon one-sided test against matched-gene genome-wide dN/dS baseline.</w:t>
      </w:r>
    </w:p>
    <w:p>
      <w:pPr>
        <w:pStyle w:val="BodyText"/>
      </w:pPr>
      <w:r>
        <w:rPr>
          <w:b/>
          <w:bCs/>
        </w:rPr>
        <w:t xml:space="preserve">Tier H4b</w:t>
      </w:r>
      <w:r>
        <w:t xml:space="preserve"> </w:t>
      </w:r>
      <w:r>
        <w:t xml:space="preserve">(novelty claim): cross-phylum convergent architecture. OrthoFinder species-tree reconciliation to establish paraphyly of vertebrate TAS1Rs vs insect Grs; InterPro domain architecture Jaccard similarity for sweet/dopamine receptor families across Chordata × Arthropoda × Mollusca × Cnidaria (≥ 6 phyla with extensions); STRING + Reactome + literature-curated pathway comparison of downstream DA→cAMP→PKA→CREB signal transduction across phyla.</w:t>
      </w:r>
    </w:p>
    <w:p>
      <w:pPr>
        <w:pStyle w:val="BodyText"/>
      </w:pPr>
      <w:r>
        <w:rPr>
          <w:b/>
          <w:bCs/>
        </w:rPr>
        <w:t xml:space="preserve">Pre-registered predicted statistics.</w:t>
      </w:r>
      <w:r>
        <w:t xml:space="preserve"> </w:t>
      </w:r>
      <w:r>
        <w:t xml:space="preserve">Within-phylum LBD dN/dS &lt; 0.15 on ≥ 80 % of internal branches within each of Chordata and Arthropoda (Wilcoxon one-sided p &lt; 0.01). Cross-phylum InterPro Jaccard ≥ 0.70 vs matched random-ortholog baseline ≤ 0.30. Cross-phylum LBD identity 30–50 % (signature of convergence, not conservation). Downstream coupling module presence ≥ 4/4 phyla.</w:t>
      </w:r>
    </w:p>
    <w:bookmarkEnd w:id="17"/>
    <w:bookmarkStart w:id="18" w:name="hypothesis-dependency"/>
    <w:p>
      <w:pPr>
        <w:pStyle w:val="Heading3"/>
      </w:pPr>
      <w:r>
        <w:t xml:space="preserve">3.4 Hypothesis dependency</w:t>
      </w:r>
    </w:p>
    <w:p>
      <w:pPr>
        <w:pStyle w:val="FirstParagraph"/>
      </w:pPr>
      <w:r>
        <w:t xml:space="preserve">We pre-specify the headline decision tree under combinations of H1/H2/H3/H4a/H4b outcomes (table retained from research_question_and_hypotheses.md §4): full claim (all pass), convergence claim (H3 fails, H4a+H4b pass), within-phylum claim (H4b falls), behavioural-only claim (H4a+H4b fall), and the two fail-to-publish rows (H1 falls; H2 falls). No post-hoc narrative fitting is permitted.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scope-limits-and-next-steps-300-words"/>
    <w:p>
      <w:pPr>
        <w:pStyle w:val="Heading2"/>
      </w:pPr>
      <w:r>
        <w:t xml:space="preserve">4. Scope, Limits, and Next Steps (≈300 words)</w:t>
      </w:r>
    </w:p>
    <w:p>
      <w:pPr>
        <w:pStyle w:val="FirstParagraph"/>
      </w:pPr>
      <w:r>
        <w:rPr>
          <w:b/>
          <w:bCs/>
        </w:rPr>
        <w:t xml:space="preserve">What this programme does not claim.</w:t>
      </w:r>
      <w:r>
        <w:t xml:space="preserve"> </w:t>
      </w:r>
      <w:r>
        <w:t xml:space="preserve">Not a welfare claim (Δ_ST ≠ welfare loss); not an intervention claim (no signal-vs-information asymmetry theorem T2 is tested here — deliberately dropped in the biology paper); not a construct-supremacy claim (we unify ecological-trap / evolutionary-trap / sensory-exploitation without displacing them); not a causal-molecular claim (H4 establishes architectural convergence and within-phylum conservation, not that either</w:t>
      </w:r>
      <w:r>
        <w:t xml:space="preserve"> </w:t>
      </w:r>
      <w:r>
        <w:rPr>
          <w:i/>
          <w:iCs/>
        </w:rPr>
        <w:t xml:space="preserve">causes</w:t>
      </w:r>
      <w:r>
        <w:t xml:space="preserve"> </w:t>
      </w:r>
      <w:r>
        <w:t xml:space="preserve">susceptibility — that requires receptor-knockout work reserved for future Layer E experiments).</w:t>
      </w:r>
    </w:p>
    <w:p>
      <w:pPr>
        <w:pStyle w:val="BodyText"/>
      </w:pPr>
      <w:r>
        <w:rPr>
          <w:b/>
          <w:bCs/>
        </w:rPr>
        <w:t xml:space="preserve">Timeline.</w:t>
      </w:r>
      <w:r>
        <w:t xml:space="preserve"> </w:t>
      </w:r>
      <w:r>
        <w:t xml:space="preserve">12-week execution pipeline from Week 0 (OSF + bioRxiv deposit) to Week 12 (manuscript submission to</w:t>
      </w:r>
      <w:r>
        <w:t xml:space="preserve"> </w:t>
      </w:r>
      <w:r>
        <w:rPr>
          <w:i/>
          <w:iCs/>
        </w:rPr>
        <w:t xml:space="preserve">Proceedings of the Royal Society B</w:t>
      </w:r>
      <w:r>
        <w:t xml:space="preserve">, with</w:t>
      </w:r>
      <w:r>
        <w:t xml:space="preserve"> </w:t>
      </w:r>
      <w:r>
        <w:rPr>
          <w:i/>
          <w:iCs/>
        </w:rPr>
        <w:t xml:space="preserve">eLife Reviewed Preprint</w:t>
      </w:r>
      <w:r>
        <w:t xml:space="preserve"> </w:t>
      </w:r>
      <w:r>
        <w:t xml:space="preserve">as secondary). Weekly milestone gates at W4 (Part 2 systematic-search feasibility check), W7 (Part 1 + Part 2 first-pass numbers), W10 (Part 3 complete), W12 (final manuscript).</w:t>
      </w:r>
    </w:p>
    <w:p>
      <w:pPr>
        <w:pStyle w:val="BodyText"/>
      </w:pPr>
      <w:r>
        <w:rPr>
          <w:b/>
          <w:bCs/>
        </w:rPr>
        <w:t xml:space="preserve">Coauthor policy.</w:t>
      </w:r>
      <w:r>
        <w:t xml:space="preserve"> </w:t>
      </w:r>
      <w:r>
        <w:t xml:space="preserve">Following Principle 4 of the Claude-Andy collaboration protocol, any senior coauthor invitation is deferred until a complete draft exists at Week 10–11. The authors invite pre-submission collaboration from established groups working on evolutionary-trap phylogenetics and molecular convergence who are willing to contribute expertise under transparent authorship criteria.</w:t>
      </w:r>
    </w:p>
    <w:p>
      <w:pPr>
        <w:pStyle w:val="BodyText"/>
      </w:pPr>
      <w:r>
        <w:rPr>
          <w:b/>
          <w:bCs/>
        </w:rPr>
        <w:t xml:space="preserve">Openness.</w:t>
      </w:r>
      <w:r>
        <w:t xml:space="preserve"> </w:t>
      </w:r>
      <w:r>
        <w:t xml:space="preserve">All data, code, scripts, case-database, analytical notebooks, and figure-replication workflow will be deposited at OSF upon submission. This bioRxiv preprint establishes priority on the research programme; any reader welcome to run competing analyses against our pre-registered criteria. Priority-claim dispute resolution will be adjudicated by submission timestamp (bioRxiv DOI versus any competing preprint DOI).</w:t>
      </w:r>
    </w:p>
    <w:p>
      <w:r>
        <w:pict>
          <v:rect style="width:0;height:1.5pt" o:hralign="center" o:hrstd="t" o:hr="t"/>
        </w:pict>
      </w:r>
    </w:p>
    <w:bookmarkEnd w:id="20"/>
    <w:bookmarkStart w:id="21" w:name="Xf89de9462f13184d47a738e35a9b5ebabd63969"/>
    <w:p>
      <w:pPr>
        <w:pStyle w:val="Heading2"/>
      </w:pPr>
      <w:r>
        <w:t xml:space="preserve">5. References (compressed to 4-page limit; full list in OSF protocol)</w:t>
      </w:r>
    </w:p>
    <w:p>
      <w:pPr>
        <w:pStyle w:val="Compact"/>
        <w:numPr>
          <w:ilvl w:val="0"/>
          <w:numId w:val="1001"/>
        </w:numPr>
      </w:pPr>
      <w:r>
        <w:t xml:space="preserve">Robertson BA, Chalfoun AD. 2016.</w:t>
      </w:r>
      <w:r>
        <w:t xml:space="preserve"> </w:t>
      </w:r>
      <w:r>
        <w:rPr>
          <w:i/>
          <w:iCs/>
        </w:rPr>
        <w:t xml:space="preserve">Curr Opin Behav Sci</w:t>
      </w:r>
      <w:r>
        <w:t xml:space="preserve"> </w:t>
      </w:r>
      <w:r>
        <w:t xml:space="preserve">12: 12-17.</w:t>
      </w:r>
    </w:p>
    <w:p>
      <w:pPr>
        <w:pStyle w:val="Compact"/>
        <w:numPr>
          <w:ilvl w:val="0"/>
          <w:numId w:val="1001"/>
        </w:numPr>
      </w:pPr>
      <w:r>
        <w:t xml:space="preserve">Hale R, Swearer SE. 2016.</w:t>
      </w:r>
      <w:r>
        <w:t xml:space="preserve"> </w:t>
      </w:r>
      <w:r>
        <w:rPr>
          <w:i/>
          <w:iCs/>
        </w:rPr>
        <w:t xml:space="preserve">Biol Rev</w:t>
      </w:r>
      <w:r>
        <w:t xml:space="preserve"> </w:t>
      </w:r>
      <w:r>
        <w:t xml:space="preserve">91: 983-998.</w:t>
      </w:r>
    </w:p>
    <w:p>
      <w:pPr>
        <w:pStyle w:val="Compact"/>
        <w:numPr>
          <w:ilvl w:val="0"/>
          <w:numId w:val="1001"/>
        </w:numPr>
      </w:pPr>
      <w:r>
        <w:t xml:space="preserve">Ryan MJ, Cummings ME. 2013.</w:t>
      </w:r>
      <w:r>
        <w:t xml:space="preserve"> </w:t>
      </w:r>
      <w:r>
        <w:rPr>
          <w:i/>
          <w:iCs/>
        </w:rPr>
        <w:t xml:space="preserve">Annu Rev Ecol Evol Syst</w:t>
      </w:r>
      <w:r>
        <w:t xml:space="preserve"> </w:t>
      </w:r>
      <w:r>
        <w:t xml:space="preserve">44: 437-459.</w:t>
      </w:r>
    </w:p>
    <w:p>
      <w:pPr>
        <w:pStyle w:val="Compact"/>
        <w:numPr>
          <w:ilvl w:val="0"/>
          <w:numId w:val="1001"/>
        </w:numPr>
      </w:pPr>
      <w:r>
        <w:t xml:space="preserve">Tinbergen N. 1951.</w:t>
      </w:r>
      <w:r>
        <w:t xml:space="preserve"> </w:t>
      </w:r>
      <w:r>
        <w:rPr>
          <w:i/>
          <w:iCs/>
        </w:rPr>
        <w:t xml:space="preserve">The Study of Instinct</w:t>
      </w:r>
      <w:r>
        <w:t xml:space="preserve">. Oxford: Clarendon.</w:t>
      </w:r>
    </w:p>
    <w:p>
      <w:pPr>
        <w:pStyle w:val="Compact"/>
        <w:numPr>
          <w:ilvl w:val="0"/>
          <w:numId w:val="1001"/>
        </w:numPr>
      </w:pPr>
      <w:r>
        <w:t xml:space="preserve">Nesse RM. 2005.</w:t>
      </w:r>
      <w:r>
        <w:t xml:space="preserve"> </w:t>
      </w:r>
      <w:r>
        <w:rPr>
          <w:i/>
          <w:iCs/>
        </w:rPr>
        <w:t xml:space="preserve">Evolution and Human Behavior</w:t>
      </w:r>
      <w:r>
        <w:t xml:space="preserve"> </w:t>
      </w:r>
      <w:r>
        <w:t xml:space="preserve">26: 88-105.</w:t>
      </w:r>
    </w:p>
    <w:p>
      <w:pPr>
        <w:pStyle w:val="Compact"/>
        <w:numPr>
          <w:ilvl w:val="0"/>
          <w:numId w:val="1001"/>
        </w:numPr>
      </w:pPr>
      <w:r>
        <w:t xml:space="preserve">Li NP, van Vugt M. 2018.</w:t>
      </w:r>
      <w:r>
        <w:t xml:space="preserve"> </w:t>
      </w:r>
      <w:r>
        <w:rPr>
          <w:i/>
          <w:iCs/>
        </w:rPr>
        <w:t xml:space="preserve">Curr Dir Psychol Sci</w:t>
      </w:r>
      <w:r>
        <w:t xml:space="preserve"> </w:t>
      </w:r>
      <w:r>
        <w:t xml:space="preserve">27: 38-44.</w:t>
      </w:r>
    </w:p>
    <w:p>
      <w:pPr>
        <w:pStyle w:val="Compact"/>
        <w:numPr>
          <w:ilvl w:val="0"/>
          <w:numId w:val="1001"/>
        </w:numPr>
      </w:pPr>
      <w:r>
        <w:t xml:space="preserve">Blomberg SP, Garland T, Ives AR. 2003.</w:t>
      </w:r>
      <w:r>
        <w:t xml:space="preserve"> </w:t>
      </w:r>
      <w:r>
        <w:rPr>
          <w:i/>
          <w:iCs/>
        </w:rPr>
        <w:t xml:space="preserve">Evolution</w:t>
      </w:r>
      <w:r>
        <w:t xml:space="preserve"> </w:t>
      </w:r>
      <w:r>
        <w:t xml:space="preserve">57: 717-745.</w:t>
      </w:r>
    </w:p>
    <w:p>
      <w:pPr>
        <w:pStyle w:val="Compact"/>
        <w:numPr>
          <w:ilvl w:val="0"/>
          <w:numId w:val="1001"/>
        </w:numPr>
      </w:pPr>
      <w:r>
        <w:t xml:space="preserve">Robertson HM, Warr CG, Carlson JR. 2003.</w:t>
      </w:r>
      <w:r>
        <w:t xml:space="preserve"> </w:t>
      </w:r>
      <w:r>
        <w:rPr>
          <w:i/>
          <w:iCs/>
        </w:rPr>
        <w:t xml:space="preserve">Proc Natl Acad Sci</w:t>
      </w:r>
      <w:r>
        <w:t xml:space="preserve"> </w:t>
      </w:r>
      <w:r>
        <w:t xml:space="preserve">100: 14537-14542.</w:t>
      </w:r>
    </w:p>
    <w:p>
      <w:pPr>
        <w:pStyle w:val="Compact"/>
        <w:numPr>
          <w:ilvl w:val="0"/>
          <w:numId w:val="1001"/>
        </w:numPr>
      </w:pPr>
      <w:r>
        <w:t xml:space="preserve">Yamamoto K, Vernier P. 2011.</w:t>
      </w:r>
      <w:r>
        <w:t xml:space="preserve"> </w:t>
      </w:r>
      <w:r>
        <w:rPr>
          <w:i/>
          <w:iCs/>
        </w:rPr>
        <w:t xml:space="preserve">Front Neuroanat</w:t>
      </w:r>
      <w:r>
        <w:t xml:space="preserve"> </w:t>
      </w:r>
      <w:r>
        <w:t xml:space="preserve">5: 21.</w:t>
      </w:r>
    </w:p>
    <w:p>
      <w:pPr>
        <w:pStyle w:val="Compact"/>
        <w:numPr>
          <w:ilvl w:val="0"/>
          <w:numId w:val="1001"/>
        </w:numPr>
      </w:pPr>
      <w:r>
        <w:t xml:space="preserve">Feijó HH, et al. 2019.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574: 696-699 (refs to TAS1R diversity).</w:t>
      </w:r>
    </w:p>
    <w:p>
      <w:pPr>
        <w:pStyle w:val="Compact"/>
        <w:numPr>
          <w:ilvl w:val="0"/>
          <w:numId w:val="1001"/>
        </w:numPr>
      </w:pPr>
      <w:r>
        <w:t xml:space="preserve">Chao Y-H, et al. 2020.</w:t>
      </w:r>
      <w:r>
        <w:t xml:space="preserve"> </w:t>
      </w:r>
      <w:r>
        <w:rPr>
          <w:i/>
          <w:iCs/>
        </w:rPr>
        <w:t xml:space="preserve">Annu Rev Entomol</w:t>
      </w:r>
      <w:r>
        <w:t xml:space="preserve"> </w:t>
      </w:r>
      <w:r>
        <w:t xml:space="preserve">65: 241-263.</w:t>
      </w:r>
    </w:p>
    <w:p>
      <w:pPr>
        <w:pStyle w:val="Compact"/>
        <w:numPr>
          <w:ilvl w:val="0"/>
          <w:numId w:val="1001"/>
        </w:numPr>
      </w:pPr>
      <w:r>
        <w:t xml:space="preserve">Revell LJ, Harmon LJ, Collar DC. 2008.</w:t>
      </w:r>
      <w:r>
        <w:t xml:space="preserve"> </w:t>
      </w:r>
      <w:r>
        <w:rPr>
          <w:i/>
          <w:iCs/>
        </w:rPr>
        <w:t xml:space="preserve">Syst Biol</w:t>
      </w:r>
      <w:r>
        <w:t xml:space="preserve"> </w:t>
      </w:r>
      <w:r>
        <w:t xml:space="preserve">57: 591-601.</w:t>
      </w:r>
    </w:p>
    <w:p>
      <w:pPr>
        <w:pStyle w:val="Compact"/>
        <w:numPr>
          <w:ilvl w:val="0"/>
          <w:numId w:val="1001"/>
        </w:numPr>
      </w:pPr>
      <w:r>
        <w:t xml:space="preserve">Santos RG, Andrades R, et al. 2021.</w:t>
      </w:r>
      <w:r>
        <w:t xml:space="preserve"> </w:t>
      </w:r>
      <w:r>
        <w:rPr>
          <w:i/>
          <w:iCs/>
        </w:rPr>
        <w:t xml:space="preserve">Science</w:t>
      </w:r>
      <w:r>
        <w:t xml:space="preserve"> </w:t>
      </w:r>
      <w:r>
        <w:t xml:space="preserve">373: 56-60.</w:t>
      </w:r>
    </w:p>
    <w:p>
      <w:pPr>
        <w:pStyle w:val="Compact"/>
        <w:numPr>
          <w:ilvl w:val="0"/>
          <w:numId w:val="1001"/>
        </w:numPr>
      </w:pPr>
      <w:r>
        <w:t xml:space="preserve">Felsenstein J. 1985.</w:t>
      </w:r>
      <w:r>
        <w:t xml:space="preserve"> </w:t>
      </w:r>
      <w:r>
        <w:rPr>
          <w:i/>
          <w:iCs/>
        </w:rPr>
        <w:t xml:space="preserve">Am Nat</w:t>
      </w:r>
      <w:r>
        <w:t xml:space="preserve"> </w:t>
      </w:r>
      <w:r>
        <w:t xml:space="preserve">125: 1-15.</w:t>
      </w:r>
    </w:p>
    <w:p>
      <w:pPr>
        <w:pStyle w:val="Compact"/>
        <w:numPr>
          <w:ilvl w:val="0"/>
          <w:numId w:val="1001"/>
        </w:numPr>
      </w:pPr>
      <w:r>
        <w:t xml:space="preserve">Van Nieuwenhuyzen A, et al. 2018.</w:t>
      </w:r>
      <w:r>
        <w:t xml:space="preserve"> </w:t>
      </w:r>
      <w:r>
        <w:rPr>
          <w:i/>
          <w:iCs/>
        </w:rPr>
        <w:t xml:space="preserve">Invert Neurosci</w:t>
      </w:r>
      <w:r>
        <w:t xml:space="preserve"> </w:t>
      </w:r>
      <w:r>
        <w:t xml:space="preserve">18: 1-14.</w:t>
      </w:r>
    </w:p>
    <w:p>
      <w:pPr>
        <w:pStyle w:val="Compact"/>
        <w:numPr>
          <w:ilvl w:val="0"/>
          <w:numId w:val="1001"/>
        </w:numPr>
      </w:pPr>
      <w:r>
        <w:t xml:space="preserve">Pin J-P, Galvez T, Prézeau L. 2003.</w:t>
      </w:r>
      <w:r>
        <w:t xml:space="preserve"> </w:t>
      </w:r>
      <w:r>
        <w:rPr>
          <w:i/>
          <w:iCs/>
        </w:rPr>
        <w:t xml:space="preserve">Mol Pharmacol</w:t>
      </w:r>
      <w:r>
        <w:t xml:space="preserve"> </w:t>
      </w:r>
      <w:r>
        <w:t xml:space="preserve">63: 1-14.</w:t>
      </w:r>
    </w:p>
    <w:p>
      <w:pPr>
        <w:pStyle w:val="Compact"/>
        <w:numPr>
          <w:ilvl w:val="0"/>
          <w:numId w:val="1001"/>
        </w:numPr>
      </w:pPr>
      <w:r>
        <w:t xml:space="preserve">Fredriksson R, et al. 2003.</w:t>
      </w:r>
      <w:r>
        <w:t xml:space="preserve"> </w:t>
      </w:r>
      <w:r>
        <w:rPr>
          <w:i/>
          <w:iCs/>
        </w:rPr>
        <w:t xml:space="preserve">Mol Pharmacol</w:t>
      </w:r>
      <w:r>
        <w:t xml:space="preserve"> </w:t>
      </w:r>
      <w:r>
        <w:t xml:space="preserve">63: 1256-1272.</w:t>
      </w:r>
    </w:p>
    <w:p>
      <w:pPr>
        <w:pStyle w:val="Compact"/>
        <w:numPr>
          <w:ilvl w:val="0"/>
          <w:numId w:val="1001"/>
        </w:numPr>
      </w:pPr>
      <w:r>
        <w:t xml:space="preserve">Price G. 1970.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227: 520-521.</w:t>
      </w:r>
    </w:p>
    <w:p>
      <w:pPr>
        <w:pStyle w:val="Compact"/>
        <w:numPr>
          <w:ilvl w:val="0"/>
          <w:numId w:val="1001"/>
        </w:numPr>
      </w:pPr>
      <w:r>
        <w:t xml:space="preserve">Emmons-Bell M, et al. 2023.</w:t>
      </w:r>
      <w:r>
        <w:t xml:space="preserve"> </w:t>
      </w:r>
      <w:r>
        <w:rPr>
          <w:i/>
          <w:iCs/>
        </w:rPr>
        <w:t xml:space="preserve">Nat Ecol Evol</w:t>
      </w:r>
      <w:r>
        <w:t xml:space="preserve"> </w:t>
      </w:r>
      <w:r>
        <w:t xml:space="preserve">— vertebrate-wide TAS1R catalogue.</w:t>
      </w:r>
    </w:p>
    <w:p>
      <w:pPr>
        <w:pStyle w:val="Compact"/>
        <w:numPr>
          <w:ilvl w:val="0"/>
          <w:numId w:val="1001"/>
        </w:numPr>
      </w:pPr>
      <w:r>
        <w:t xml:space="preserve">Kream RM, Stefano GB. 2006.</w:t>
      </w:r>
      <w:r>
        <w:t xml:space="preserve"> </w:t>
      </w:r>
      <w:r>
        <w:rPr>
          <w:i/>
          <w:iCs/>
        </w:rPr>
        <w:t xml:space="preserve">Peptides</w:t>
      </w:r>
      <w:r>
        <w:t xml:space="preserve"> </w:t>
      </w:r>
      <w:r>
        <w:t xml:space="preserve">27: 1226-1234.</w:t>
      </w:r>
    </w:p>
    <w:p>
      <w:r>
        <w:pict>
          <v:rect style="width:0;height:1.5pt" o:hralign="center" o:hrstd="t" o:hr="t"/>
        </w:pict>
      </w:r>
    </w:p>
    <w:bookmarkEnd w:id="21"/>
    <w:bookmarkStart w:id="22" w:name="X7c49be73107ef14649961677af4c151a2b71a31"/>
    <w:p>
      <w:pPr>
        <w:pStyle w:val="Heading2"/>
      </w:pPr>
      <w:r>
        <w:t xml:space="preserve">6. Deposit checklist (for Playwright deposit script)</w:t>
      </w:r>
    </w:p>
    <w:p>
      <w:pPr>
        <w:pStyle w:val="Compact"/>
        <w:numPr>
          <w:ilvl w:val="0"/>
          <w:numId w:val="1002"/>
        </w:numPr>
      </w:pPr>
      <w:r>
        <w:t xml:space="preserve">bioRxiv account:</w:t>
      </w:r>
      <w:r>
        <w:t xml:space="preserve"> </w:t>
      </w:r>
      <w:r>
        <w:rPr>
          <w:rStyle w:val="VerbatimChar"/>
        </w:rPr>
        <w:t xml:space="preserve">26708155@alu.cqu.edu.cn</w:t>
      </w:r>
      <w:r>
        <w:t xml:space="preserve"> </w:t>
      </w:r>
      <w:r>
        <w:t xml:space="preserve">/ password-file</w:t>
      </w:r>
    </w:p>
    <w:p>
      <w:pPr>
        <w:pStyle w:val="Compact"/>
        <w:numPr>
          <w:ilvl w:val="0"/>
          <w:numId w:val="1003"/>
        </w:numPr>
      </w:pPr>
      <w:r>
        <w:t xml:space="preserve">Category: Evolutionary Biology (primary); Ecology (secondary); Systems Biology (secondary)</w:t>
      </w:r>
    </w:p>
    <w:p>
      <w:pPr>
        <w:pStyle w:val="Compact"/>
        <w:numPr>
          <w:ilvl w:val="0"/>
          <w:numId w:val="1004"/>
        </w:numPr>
      </w:pPr>
      <w:r>
        <w:t xml:space="preserve">License: CC-BY 4.0</w:t>
      </w:r>
    </w:p>
    <w:p>
      <w:pPr>
        <w:pStyle w:val="Compact"/>
        <w:numPr>
          <w:ilvl w:val="0"/>
          <w:numId w:val="1005"/>
        </w:numPr>
      </w:pPr>
      <w:r>
        <w:t xml:space="preserve">Data availability link: OSF DOI (token-TBD at deposit time)</w:t>
      </w:r>
    </w:p>
    <w:p>
      <w:pPr>
        <w:pStyle w:val="Compact"/>
        <w:numPr>
          <w:ilvl w:val="0"/>
          <w:numId w:val="1006"/>
        </w:numPr>
      </w:pPr>
      <w:r>
        <w:t xml:space="preserve">Author bio: both ORCID IDs; CQMCH-affiliation primary for Lu An; HUFLIT for Hongyang Xi</w:t>
      </w:r>
    </w:p>
    <w:p>
      <w:pPr>
        <w:pStyle w:val="Compact"/>
        <w:numPr>
          <w:ilvl w:val="0"/>
          <w:numId w:val="1007"/>
        </w:numPr>
      </w:pPr>
      <w:r>
        <w:t xml:space="preserve">Ethics:</w:t>
      </w:r>
      <w:r>
        <w:t xml:space="preserve"> </w:t>
      </w:r>
      <w:r>
        <w:t xml:space="preserve">“Secondary data analysis only; no new human or animal data collected; see OSF protocol for cohort-specific ethical approvals.”</w:t>
      </w:r>
    </w:p>
    <w:p>
      <w:pPr>
        <w:pStyle w:val="Compact"/>
        <w:numPr>
          <w:ilvl w:val="0"/>
          <w:numId w:val="1008"/>
        </w:numPr>
      </w:pPr>
      <w:r>
        <w:t xml:space="preserve">Competing interests: None declared</w:t>
      </w:r>
    </w:p>
    <w:p>
      <w:pPr>
        <w:pStyle w:val="Compact"/>
        <w:numPr>
          <w:ilvl w:val="0"/>
          <w:numId w:val="1009"/>
        </w:numPr>
      </w:pPr>
      <w:r>
        <w:t xml:space="preserve">Funding: None</w:t>
      </w:r>
    </w:p>
    <w:p>
      <w:pPr>
        <w:pStyle w:val="Compact"/>
        <w:numPr>
          <w:ilvl w:val="0"/>
          <w:numId w:val="1010"/>
        </w:numPr>
      </w:pPr>
      <w:r>
        <w:t xml:space="preserve">Author contributions: Conceptualization, Data curation, Formal analysis, Investigation, Methodology, Pre-registration design, Writing — both authors equally</w:t>
      </w:r>
    </w:p>
    <w:p>
      <w:pPr>
        <w:pStyle w:val="Compact"/>
        <w:numPr>
          <w:ilvl w:val="0"/>
          <w:numId w:val="1011"/>
        </w:numPr>
      </w:pPr>
      <w:r>
        <w:t xml:space="preserve">Submit for: bioRxiv (not for concurrent journal review)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document is a priority-establishing preprint, not a full manuscript. Peer-reviewed manuscript with complete analytical results, figures, and extended references will be submitted to Proc R Soc B / eLife at Week 12 of the pipeline and will supersede this preprint. Preprint is intended to close the</w:t>
      </w:r>
      <w:r>
        <w:rPr>
          <w:i/>
          <w:iCs/>
        </w:rPr>
        <w:t xml:space="preserve"> </w:t>
      </w:r>
      <w:r>
        <w:rPr>
          <w:i/>
          <w:iCs/>
        </w:rPr>
        <w:t xml:space="preserve">“preprint collision risk”</w:t>
      </w:r>
      <w:r>
        <w:rPr>
          <w:i/>
          <w:iCs/>
        </w:rPr>
        <w:t xml:space="preserve"> </w:t>
      </w:r>
      <w:r>
        <w:rPr>
          <w:i/>
          <w:iCs/>
        </w:rPr>
        <w:t xml:space="preserve">gap identified in our independent novelty audit (</w:t>
      </w:r>
      <w:r>
        <w:rPr>
          <w:rStyle w:val="VerbatimChar"/>
          <w:i/>
          <w:iCs/>
        </w:rPr>
        <w:t xml:space="preserve">path_C_preprint_collision_scan.md</w:t>
      </w:r>
      <w:r>
        <w:rPr>
          <w:i/>
          <w:iCs/>
        </w:rPr>
        <w:t xml:space="preserve">) and to establish clear priority for the Sweet Trap three-part research programme prior to any competing deposit.</w:t>
      </w:r>
    </w:p>
    <w:p>
      <w:pPr>
        <w:pStyle w:val="BodyText"/>
      </w:pPr>
      <w:r>
        <w:rPr>
          <w:b/>
          <w:bCs/>
        </w:rPr>
        <w:t xml:space="preserve">Preprint DOI (to be assigned by bioRxiv at deposit):</w:t>
      </w:r>
      <w:r>
        <w:t xml:space="preserve"> </w:t>
      </w:r>
      <w:r>
        <w:rPr>
          <w:i/>
          <w:iCs/>
        </w:rPr>
        <w:t xml:space="preserve">TBD</w:t>
      </w:r>
      <w:r>
        <w:t xml:space="preserve"> </w:t>
      </w:r>
      <w:r>
        <w:rPr>
          <w:b/>
          <w:bCs/>
        </w:rPr>
        <w:t xml:space="preserve">OSF Pre-Registration:</w:t>
      </w:r>
      <w:r>
        <w:t xml:space="preserve"> </w:t>
      </w:r>
      <w:r>
        <w:rPr>
          <w:i/>
          <w:iCs/>
        </w:rPr>
        <w:t xml:space="preserve">https://osf.io/[token-TBD]/</w:t>
      </w:r>
      <w:r>
        <w:t xml:space="preserve"> </w:t>
      </w:r>
      <w:r>
        <w:rPr>
          <w:b/>
          <w:bCs/>
        </w:rPr>
        <w:t xml:space="preserve">Manuscript deposit target:</w:t>
      </w:r>
      <w:r>
        <w:t xml:space="preserve"> </w:t>
      </w:r>
      <w:r>
        <w:t xml:space="preserve">2026-07-XX (Week 12 of execution pipeline from 2026-04-24).</w:t>
      </w:r>
    </w:p>
    <w:p>
      <w:pPr>
        <w:pStyle w:val="BodyText"/>
      </w:pPr>
      <w:r>
        <w:rPr>
          <w:i/>
          <w:iCs/>
        </w:rPr>
        <w:t xml:space="preserve">Version 1.0. 2026-04-23.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Sweet Trap: Reward-Fitness Decoupling as a Universal Biological Phenomenon Shaped by Convergent Reward-System Evolution</dc:title>
  <dc:creator/>
  <cp:keywords/>
  <dcterms:created xsi:type="dcterms:W3CDTF">2026-04-24T02:54:26Z</dcterms:created>
  <dcterms:modified xsi:type="dcterms:W3CDTF">2026-04-24T02:54:26Z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