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Chongqing Health Center for Women and Children</w:t>
      </w:r>
      <w:r>
        <w:t xml:space="preserve"> </w:t>
      </w:r>
      <w:r>
        <w:t xml:space="preserve">Department of Mammary Gland</w:t>
      </w:r>
      <w:r>
        <w:t xml:space="preserve"> </w:t>
      </w:r>
      <w:r>
        <w:t xml:space="preserve">No. 120 Longshan Road, Liangjiang New Area District</w:t>
      </w:r>
      <w:r>
        <w:t xml:space="preserve"> </w:t>
      </w:r>
      <w:r>
        <w:t xml:space="preserve">Chongqing 401147, China</w:t>
      </w:r>
    </w:p>
    <w:p>
      <w:pPr>
        <w:pStyle w:val="BodyText"/>
      </w:pPr>
      <w:r>
        <w:t xml:space="preserve">2026-04-18</w:t>
      </w:r>
    </w:p>
    <w:p>
      <w:pPr>
        <w:pStyle w:val="BodyText"/>
      </w:pPr>
      <w:r>
        <w:rPr>
          <w:b/>
          <w:bCs/>
        </w:rPr>
        <w:t xml:space="preserve">To the Editor</w:t>
      </w:r>
      <w:r>
        <w:t xml:space="preserve"> </w:t>
      </w:r>
      <w:r>
        <w:rPr>
          <w:i/>
          <w:iCs/>
        </w:rPr>
        <w:t xml:space="preserve">Nature Human Behaviour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/>
          <w:bCs/>
        </w:rPr>
        <w:t xml:space="preserve">“Sweet Trap: a theory of reward–fitness decoupling with cross-species empirical validation”</w:t>
      </w:r>
      <w:r>
        <w:t xml:space="preserve">, for consideration as an Article in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We formalise an axiomatic theory of reward–fitness decoupling (the</w:t>
      </w:r>
      <w:r>
        <w:t xml:space="preserve"> </w:t>
      </w:r>
      <w:r>
        <w:rPr>
          <w:b/>
          <w:bCs/>
        </w:rPr>
        <w:t xml:space="preserve">Sweet Trap</w:t>
      </w:r>
      <w:r>
        <w:t xml:space="preserve">: four axioms, four theorems, one keystone scalar Δ_ST =</w:t>
      </w:r>
      <w:r>
        <w:t xml:space="preserve"> </w:t>
      </w:r>
      <w:r>
        <w:rPr>
          <w:i/>
          <w:iCs/>
        </w:rPr>
        <w:t xml:space="preserve">U</w:t>
      </w:r>
      <w:r>
        <w:t xml:space="preserve">_perc − E[</w:t>
      </w:r>
      <w:r>
        <w:rPr>
          <w:i/>
          <w:iCs/>
        </w:rPr>
        <w:t xml:space="preserve">U</w:t>
      </w:r>
      <w:r>
        <w:t xml:space="preserve">_fit ∣</w:t>
      </w:r>
      <w:r>
        <w:t xml:space="preserve"> </w:t>
      </w:r>
      <w:r>
        <w:rPr>
          <w:i/>
          <w:iCs/>
        </w:rPr>
        <w:t xml:space="preserve">B</w:t>
      </w:r>
      <w:r>
        <w:t xml:space="preserve">]) and validate it across a four-layer empirical programme: 20 non-human animal cases (seven taxonomic classes), five human focal domains with 3,000 pre-registered specifications, 25 ISSP countries (</w:t>
      </w:r>
      <w:r>
        <w:rPr>
          <w:i/>
          <w:iCs/>
        </w:rPr>
        <w:t xml:space="preserve">n</w:t>
      </w:r>
      <w:r>
        <w:t xml:space="preserve"> </w:t>
      </w:r>
      <w:r>
        <w:t xml:space="preserve">= 2.9 M), and 19 Mendelian-randomisation chains against FinnGen R12. The central new result —</w:t>
      </w:r>
      <w:r>
        <w:t xml:space="preserve"> </w:t>
      </w:r>
      <w:r>
        <w:rPr>
          <w:b/>
          <w:bCs/>
        </w:rPr>
        <w:t xml:space="preserve">Theorem T2 (Intervention Asymmetry)</w:t>
      </w:r>
      <w:r>
        <w:t xml:space="preserve"> </w:t>
      </w:r>
      <w:r>
        <w:t xml:space="preserve">— proves that signal-redesign interventions structurally dominate information interventions by at least (1 −</w:t>
      </w:r>
      <w:r>
        <w:t xml:space="preserve"> </w:t>
      </w:r>
      <w:r>
        <w:rPr>
          <w:i/>
          <w:iCs/>
        </w:rPr>
        <w:t xml:space="preserve">w</w:t>
      </w:r>
      <w:r>
        <w:t xml:space="preserve">_max)/</w:t>
      </w:r>
      <w:r>
        <w:rPr>
          <w:i/>
          <w:iCs/>
        </w:rPr>
        <w:t xml:space="preserve">w</w:t>
      </w:r>
      <w:r>
        <w:t xml:space="preserve">_max ≥ 1.5 under dose-matched comparison. This is a theorem, not an empirical generalisation. We test its prediction P1 across six focal domains: unit-matched ratios (C8: 74×; C12: 7×) clear the 1.5 floor, with signal-redesign dominating information in 6/6 domains. An F1+F2 binary classifier validates at κ = 1.00 on 18 blind-coded cases.</w:t>
      </w:r>
    </w:p>
    <w:p>
      <w:pPr>
        <w:pStyle w:val="BodyText"/>
      </w:pPr>
      <w:r>
        <w:rPr>
          <w:b/>
          <w:bCs/>
        </w:rPr>
        <w:t xml:space="preserve">Why now.</w:t>
      </w:r>
      <w:r>
        <w:t xml:space="preserve"> </w:t>
      </w:r>
      <w:r>
        <w:t xml:space="preserve">Three concurrent policy streams converge on mechanisms this paper formalises. The WHO ultra-processed-food review (2024) and UK sugar-tax decadal evaluation (2024–2025) are the first population-scale tests of signal-distribution rather than information-based health policy. The EU Digital Services Act (2024–) mandates algorithmic-recommender transparency without a mechanism-level framework for variable-ratio-driven welfare losses. China’s 2024 telecom-fraud crackdown (437,000 cases in 2023) and the FBI IC3’s USD 4.57 billion confidence-fraud statistics describe an engineered-deception category classical behavioural frameworks do not cleanly classify. Our axiomatic construct supplies the unifying architectural account with an empirically testable intervention-asymmetry theorem.</w:t>
      </w:r>
    </w:p>
    <w:p>
      <w:pPr>
        <w:pStyle w:val="BodyText"/>
      </w:pPr>
      <w:r>
        <w:rPr>
          <w:b/>
          <w:bCs/>
        </w:rPr>
        <w:t xml:space="preserve">Honest limitations.</w:t>
      </w:r>
      <w:r>
        <w:t xml:space="preserve"> </w:t>
      </w:r>
      <w:r>
        <w:t xml:space="preserve">Of five theorem-derived predictions: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strongly supported;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partially supported (ISSP R² = 0.255, above the 0.15 falsification floor, below the 0.40 target);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reported as empirical regularity consistent with T3 (ψ-commensurability premise not formally established);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qualitatively consistent;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awaits dedicated empirical test. The three-layer A+B+D meta-regression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0.47; the pre-registered A+D subset (β = +1.58,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0.019) is the headline inferential evidence. The C13 housing anomaly is reported transparently without mechanism-reclassification.</w:t>
      </w:r>
    </w:p>
    <w:p>
      <w:pPr>
        <w:pStyle w:val="BodyText"/>
      </w:pPr>
      <w:r>
        <w:rPr>
          <w:b/>
          <w:bCs/>
        </w:rPr>
        <w:t xml:space="preserve">Fit.</w:t>
      </w:r>
      <w:r>
        <w:t xml:space="preserve"> </w:t>
      </w:r>
      <w:r>
        <w:t xml:space="preserve">The manuscript’s combination of phylogenetic breadth (seven taxonomic classes + 25 countries + 19 MR chains), formal axiomatic theory, pre-registered empirical validation, and a construct-derived policy-predictive theorem fits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’s scope most naturally. We do not propose a handling editor and welcome editorial guidance.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analytical scripts, the 19-chain MR summary, the cross-level effect table, the intervention-asymmetry compilation, Paper 1 theory documents (axioms, theorems, lemmas), and Paper 2 Stage 3 findings are deposited at OSF</w:t>
      </w:r>
      <w:r>
        <w:t xml:space="preserve"> </w:t>
      </w:r>
      <w:r>
        <w:rPr>
          <w:rStyle w:val="VerbatimChar"/>
        </w:rPr>
        <w:t xml:space="preserve">https://osf.io/ucxv7/</w:t>
      </w:r>
      <w:r>
        <w:t xml:space="preserve"> </w:t>
      </w:r>
      <w:r>
        <w:t xml:space="preserve">(public, deposited 2026-04-18). Restricted-access data (CFPS, CHARLS, CHFS, UK Biobank, FinnGen R12) are accessed under respective institutional approvals; aggregated tables reproducing every figure are in the OSF deposit.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This work has not been published, submitted elsewhere, or deposited on bioRxiv, SSRN, PsyArXiv, or any preprint server; the OSF project contains reproducibility artefacts only. All authors have read and approved the final manuscript. The authors declare no competing interests. Correspondence may be addressed to Lu An (113781@hospital.cqmu.edu.cn) or Hongyang Xi (26708155@alu.cqu.edu.cn); both authors are corresponding.</w:t>
      </w:r>
    </w:p>
    <w:p>
      <w:pPr>
        <w:pStyle w:val="BodyText"/>
      </w:pPr>
      <w:r>
        <w:t xml:space="preserve">We appreciate the Editor’s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Lu An (ORCID 0009-0002-8987-7986)</w:t>
      </w:r>
      <w:r>
        <w:t xml:space="preserve"> </w:t>
      </w:r>
      <w:r>
        <w:t xml:space="preserve">Hongyang Xi (ORCID 0009-0007-6911-2309)</w:t>
      </w:r>
      <w:r>
        <w:t xml:space="preserve"> </w:t>
      </w:r>
      <w:r>
        <w:t xml:space="preserve">Department of Mammary Gland</w:t>
      </w:r>
      <w:r>
        <w:t xml:space="preserve"> </w:t>
      </w:r>
      <w:r>
        <w:t xml:space="preserve">Chongqing Health Center for Women and Children</w:t>
      </w:r>
      <w:r>
        <w:t xml:space="preserve"> </w:t>
      </w:r>
      <w:r>
        <w:t xml:space="preserve">Women and Children’s Hospital of Chongqing Medical University</w:t>
      </w:r>
      <w:r>
        <w:t xml:space="preserve"> </w:t>
      </w:r>
      <w:r>
        <w:t xml:space="preserve">Chongqing 401147, China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2026-04-18T07:42:47Z</dcterms:created>
  <dcterms:modified xsi:type="dcterms:W3CDTF">2026-04-18T07:42:47Z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