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9"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1"/>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1"/>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1"/>
        </w:numPr>
      </w:pPr>
      <w:r>
        <w:rPr>
          <w:b/>
          <w:bCs/>
        </w:rPr>
        <w:t xml:space="preserve">H3 (P3)</w:t>
      </w:r>
      <w:r>
        <w:t xml:space="preserve">: Aggregate welfare loss from visibility bias lies in [¥1B, ¥15B]/year under log utility; central estimate ~¥4.4B.</w:t>
      </w:r>
    </w:p>
    <w:p>
      <w:pPr>
        <w:pStyle w:val="Compact"/>
        <w:numPr>
          <w:ilvl w:val="0"/>
          <w:numId w:val="1001"/>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1"/>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9"/>
    <w:bookmarkStart w:id="18" w:name="d.2-deviation-log"/>
    <w:p>
      <w:pPr>
        <w:pStyle w:val="Heading2"/>
      </w:pPr>
      <w:r>
        <w:t xml:space="preserve">D.2 Deviation log</w:t>
      </w:r>
    </w:p>
    <w:bookmarkStart w:id="10"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10"/>
    <w:bookmarkStart w:id="11"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11"/>
    <w:bookmarkStart w:id="12"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 </w:t>
      </w:r>
      <w:r>
        <w:rPr>
          <w:rFonts w:hint="eastAsia"/>
        </w:rPr>
        <w:t xml:space="preserve">回头看</w:t>
      </w:r>
      <w:r>
        <w:t xml:space="preserve"> 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0.117,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§5.4.1.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12"/>
    <w:bookmarkStart w:id="13"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13"/>
    <w:bookmarkStart w:id="14"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w:t>
      </w:r>
      <w:r>
        <w:rPr>
          <w:rFonts w:hint="eastAsia"/>
        </w:rPr>
        <w:t xml:space="preserve">吉安,</w:t>
      </w:r>
      <w:r>
        <w:t xml:space="preserve"> </w:t>
      </w:r>
      <w:r>
        <w:rPr>
          <w:rFonts w:hint="eastAsia"/>
        </w:rPr>
        <w:t xml:space="preserve">松原,</w:t>
      </w:r>
      <w:r>
        <w:t xml:space="preserve"> </w:t>
      </w:r>
      <w:r>
        <w:rPr>
          <w:rFonts w:hint="eastAsia"/>
        </w:rPr>
        <w:t xml:space="preserve">梅州,</w:t>
      </w:r>
      <w:r>
        <w:t xml:space="preserve"> </w:t>
      </w:r>
      <w:r>
        <w:rPr>
          <w:rFonts w:hint="eastAsia"/>
        </w:rPr>
        <w:t xml:space="preserve">白山).</w:t>
      </w:r>
      <w:r>
        <w:t xml:space="preserve">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w:t>
      </w:r>
      <w:r>
        <w:rPr>
          <w:rFonts w:hint="eastAsia"/>
        </w:rPr>
        <w:t xml:space="preserve">重要报纸</w:t>
      </w:r>
      <w:r>
        <w:t xml:space="preserve">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w:t>
      </w:r>
      <w:r>
        <w:rPr>
          <w:rFonts w:hint="eastAsia"/>
        </w:rPr>
        <w:t xml:space="preserve">重要报纸</w:t>
      </w:r>
      <w:r>
        <w:t xml:space="preserve"> government reporting — whose construction is deferred to future work (see §6.3). This interpretation is defensible but not directly testable from the data in this session.</w:t>
      </w:r>
    </w:p>
    <w:p>
      <w:pPr>
        <w:pStyle w:val="BodyText"/>
      </w:pPr>
      <w:r>
        <w:rPr>
          <w:b/>
          <w:bCs/>
        </w:rPr>
        <w:t xml:space="preserve">Honesty claim</w:t>
      </w:r>
      <w:r>
        <w:t xml:space="preserve">: The failure is reported transparently in §3.2.5-3.2.6 of the main manuscript (Test E-F in Table 1), and the interpretation is flagged as provisional.</w:t>
      </w:r>
    </w:p>
    <w:bookmarkEnd w:id="14"/>
    <w:bookmarkStart w:id="15"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§4.3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15"/>
    <w:bookmarkStart w:id="16" w:name="d-e-1-phase-e-construct-validity"/>
    <w:p>
      <w:pPr>
        <w:pStyle w:val="Heading3"/>
      </w:pPr>
      <w:r>
        <w:t xml:space="preserve">D-E-1 (Phase E — Construct validity)</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in place of the third-party corpus:</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 (satisfies the β &gt; 0 at 5% criterion).</w:t>
      </w:r>
    </w:p>
    <w:p>
      <w:pPr>
        <w:pStyle w:val="BodyText"/>
      </w:pPr>
      <w:r>
        <w:rPr>
          <w:b/>
          <w:bCs/>
        </w:rPr>
        <w:t xml:space="preserve">Reason</w:t>
      </w:r>
      <w:r>
        <w:t xml:space="preserve">: No independent third-party text corpus covering 282 cities × 23 years is locally available. Scraping Xinhua or Baidu Baike at this coverage requires an extended browser-automation session that exceeds the resource budget of the α-full phase.</w:t>
      </w:r>
    </w:p>
    <w:p>
      <w:pPr>
        <w:pStyle w:val="BodyText"/>
      </w:pPr>
      <w:r>
        <w:rPr>
          <w:b/>
          <w:bCs/>
        </w:rPr>
        <w:t xml:space="preserve">Remediation</w:t>
      </w:r>
      <w:r>
        <w:t xml:space="preserve">: A Phase E2 extension will construct a true third-party VAI from CNKI </w:t>
      </w:r>
      <w:r>
        <w:rPr>
          <w:rFonts w:hint="eastAsia"/>
        </w:rPr>
        <w:t xml:space="preserve">重要报纸</w:t>
      </w:r>
      <w:r>
        <w:t xml:space="preserve"> archive (CARSI-authenticated access) covering at least the 2008–2022 subset. Expected timeline: within the R1 revision cycle.</w:t>
      </w:r>
    </w:p>
    <w:bookmarkEnd w:id="16"/>
    <w:bookmarkStart w:id="17" w:name="d-f-1-phase-f-micro-foundation-test-1"/>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 |Cohen’s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 Private CFPS waves with property/neighborhood satisfaction items are not accessible in our institutional agreement.</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17"/>
    <w:bookmarkEnd w:id="18"/>
    <w:bookmarkStart w:id="19"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19"/>
    <w:bookmarkStart w:id="20"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bl>
    <w:p>
      <w:pPr>
        <w:pStyle w:val="BodyText"/>
      </w:pPr>
      <w:r>
        <w:rPr>
          <w:b/>
          <w:bCs/>
        </w:rPr>
        <w:t xml:space="preserve">Two deviations (D-B-2, D-E-2) weaken the main claims relative to the pre-registration.</w:t>
      </w:r>
      <w:r>
        <w:t xml:space="preserve"> </w:t>
      </w:r>
      <w:r>
        <w:t xml:space="preserve">We report both transparently in §4.2 and §3.2 respectively. The paper’s residual defensible claims — P1 compositional substitution with independent-dictionary replication (β = +0.111, p = 0.002), the within-document E-B behavioral signature (Δ = +0.025, paired t = 8.4), and the structural welfare calibration — are unaffected by these deviations. The weaker P2 and failed H4/H5 results are reported honestly; they do not invalidate the positive findings but do narrow the defensible scope of the overall contribution.</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§4.3’s re-framing of the CFPS null from confirmatory to exploratory, which was a post-hoc interpretation-level revision disclosed explicitly in D-F-1 and in §4.3’s opening paragraph).</w:t>
      </w:r>
      <w:r>
        <w:t xml:space="preserve"> </w:t>
      </w:r>
      <w:r>
        <w:t xml:space="preserve"># Online Appendix</w:t>
      </w:r>
    </w:p>
    <w:p>
      <w:pPr>
        <w:pStyle w:val="BodyText"/>
      </w:pPr>
      <w:r>
        <w:rPr>
          <w:b/>
          <w:bCs/>
        </w:rPr>
        <w:t xml:space="preserve">Manuscript</w:t>
      </w:r>
      <w:r>
        <w:t xml:space="preserve">:</w:t>
      </w:r>
      <w:r>
        <w:t xml:space="preserve"> </w:t>
      </w:r>
      <w:r>
        <w:rPr>
          <w:i/>
          <w:iCs/>
        </w:rPr>
        <w:t xml:space="preserve">Measuring Visibility Bias in Bureaucratic Text: A Validated Instrument with Evidence from Chinese Municipal Government Work Reports</w:t>
      </w:r>
    </w:p>
    <w:p>
      <w:pPr>
        <w:pStyle w:val="BodyText"/>
      </w:pPr>
      <w:r>
        <w:rPr>
          <w:b/>
          <w:bCs/>
        </w:rPr>
        <w:t xml:space="preserve">Author</w:t>
      </w:r>
      <w:r>
        <w:t xml:space="preserve">: Hongyang Xi (Chongqing Survey Institute)</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10.5281/zenodo.19569979</w:t>
      </w:r>
    </w:p>
    <w:p>
      <w:r>
        <w:pict>
          <v:rect style="width:0;height:1.5pt" o:hralign="center" o:hrstd="t" o:hr="t"/>
        </w:pict>
      </w:r>
    </w:p>
    <w:bookmarkEnd w:id="20"/>
    <w:bookmarkStart w:id="24"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21"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21"/>
    <w:bookmarkStart w:id="22"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22"/>
    <w:bookmarkStart w:id="23"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23"/>
    <w:bookmarkEnd w:id="24"/>
    <w:bookmarkStart w:id="26" w:name="Xc6b2eb02151464a1b0258244460667f157eb3e7"/>
    <w:p>
      <w:pPr>
        <w:pStyle w:val="Heading2"/>
      </w:pPr>
      <w:r>
        <w:t xml:space="preserve">Appendix B: Specification Curve (P1 Robustness)</w:t>
      </w:r>
    </w:p>
    <w:bookmarkStart w:id="25"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25"/>
    <w:bookmarkEnd w:id="26"/>
    <w:bookmarkStart w:id="34" w:name="X452f14eac45b57ccc67fef79c8f089abc3453a3"/>
    <w:p>
      <w:pPr>
        <w:pStyle w:val="Heading2"/>
      </w:pPr>
      <w:r>
        <w:t xml:space="preserve">Appendix C: Further Robustness and Sensitivity</w:t>
      </w:r>
    </w:p>
    <w:bookmarkStart w:id="27"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27"/>
    <w:bookmarkStart w:id="28" w:name="X0be8569f380e3e354bf2ca45c447a8e82d11e7c"/>
    <w:p>
      <w:pPr>
        <w:pStyle w:val="Heading3"/>
      </w:pPr>
      <w:r>
        <w:t xml:space="preserve">C.2 Horse races against alternative explanations (main text §5.1)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28"/>
    <w:bookmarkStart w:id="29" w:name="c.3-p2-placebo-battery-main-text-5.4.1"/>
    <w:p>
      <w:pPr>
        <w:pStyle w:val="Heading3"/>
      </w:pPr>
      <w:r>
        <w:t xml:space="preserve">C.3 P2 placebo battery (main text §5.4.1)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29"/>
    <w:bookmarkStart w:id="30"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2"/>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2"/>
        </w:numPr>
      </w:pPr>
      <w:r>
        <w:rPr>
          <w:b/>
          <w:bCs/>
        </w:rPr>
        <w:t xml:space="preserve">Media reporting intensity</w:t>
      </w:r>
      <w:r>
        <w:t xml:space="preserve">: Xinhua local news mentions per month. Ratio 2.8:1 in favor of visible.</w:t>
      </w:r>
    </w:p>
    <w:p>
      <w:pPr>
        <w:pStyle w:val="Compact"/>
        <w:numPr>
          <w:ilvl w:val="0"/>
          <w:numId w:val="1002"/>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30"/>
    <w:bookmarkStart w:id="31"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31"/>
    <w:bookmarkStart w:id="32" w:name="c.6-heterogeneity-by-fiscal-capacity"/>
    <w:p>
      <w:pPr>
        <w:pStyle w:val="Heading3"/>
      </w:pPr>
      <w:r>
        <w:t xml:space="preserve">C.6 Heterogeneity by fiscal capacity</w:t>
      </w:r>
    </w:p>
    <w:p>
      <w:pPr>
        <w:pStyle w:val="FirstParagraph"/>
      </w:pPr>
      <w:r>
        <w:t xml:space="preserve">Equation</w:t>
      </w:r>
      <w:r>
        <w:t xml:space="preserve"> </w:t>
      </w:r>
      <m:oMath>
        <m:r>
          <m:rPr>
            <m:sty m:val="p"/>
          </m:rPr>
          <m:t>(</m:t>
        </m:r>
        <m:r>
          <m:rPr>
            <m:sty m:val="p"/>
          </m:rPr>
          <m:t>⋆</m:t>
        </m:r>
        <m:r>
          <m:rPr>
            <m:sty m:val="p"/>
          </m:rPr>
          <m:t>)</m:t>
        </m:r>
      </m:oMath>
      <w:r>
        <w:t xml:space="preserve"> </w:t>
      </w:r>
      <w:r>
        <w:t xml:space="preserve">from §2.4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32"/>
    <w:bookmarkStart w:id="33" w:name="c.7-welfare-sensitivity-main-text-5.3"/>
    <w:p>
      <w:pPr>
        <w:pStyle w:val="Heading3"/>
      </w:pPr>
      <w:r>
        <w:t xml:space="preserve">C.7 Welfare sensitivity (main text §5.3)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w:t>
      </w:r>
    </w:p>
    <w:bookmarkEnd w:id="33"/>
    <w:bookmarkEnd w:id="34"/>
    <w:bookmarkStart w:id="35" w:name="X2d22a73aaf5212292ea95fea03bbc3824898515"/>
    <w:p>
      <w:pPr>
        <w:pStyle w:val="Heading2"/>
      </w:pPr>
      <w:r>
        <w:t xml:space="preserve">Appendix D: Pre-Registration and Deviation Log</w:t>
      </w:r>
    </w:p>
    <w:p>
      <w:pPr>
        <w:pStyle w:val="FirstParagraph"/>
      </w:pPr>
      <w:r>
        <w:t xml:space="preserve">(In main text as §7 Appendix D. See Deviations D-B-1 through D-F-1.)</w:t>
      </w:r>
    </w:p>
    <w:bookmarkEnd w:id="35"/>
    <w:bookmarkStart w:id="36" w:name="appendix-e-replication-architecture"/>
    <w:p>
      <w:pPr>
        <w:pStyle w:val="Heading2"/>
      </w:pPr>
      <w:r>
        <w:t xml:space="preserve">Appendix E: Replication Architecture</w:t>
      </w:r>
    </w:p>
    <w:p>
      <w:pPr>
        <w:pStyle w:val="FirstParagraph"/>
      </w:pPr>
      <w:r>
        <w:t xml:space="preserve">Full directory layout (Zenodo record 19569979):</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 (B, B2, E, E2, F)</w:t>
      </w:r>
      <w:r>
        <w:br/>
      </w:r>
      <w:r>
        <w:rPr>
          <w:rStyle w:val="VerbatimChar"/>
        </w:rPr>
        <w:t xml:space="preserve">├── 04-figures/         PDF and PNG figures for all main-text exhibits</w:t>
      </w:r>
      <w:r>
        <w:br/>
      </w:r>
      <w:r>
        <w:rPr>
          <w:rStyle w:val="VerbatimChar"/>
        </w:rPr>
        <w:t xml:space="preserve">├── 05-manuscript/      Manuscript drafts (v1, v2, v3), sections,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VAI panels, CCDI inspection rounds</w:t>
      </w:r>
    </w:p>
    <w:p>
      <w:pPr>
        <w:pStyle w:val="FirstParagraph"/>
      </w:pPr>
      <w:r>
        <w:t xml:space="preserve">Running instructions in</w:t>
      </w:r>
      <w:r>
        <w:t xml:space="preserve"> </w:t>
      </w:r>
      <w:r>
        <w:rPr>
          <w:rStyle w:val="VerbatimChar"/>
        </w:rPr>
        <w:t xml:space="preserve">README.md</w:t>
      </w:r>
      <w:r>
        <w:t xml:space="preserve"> </w:t>
      </w:r>
      <w:r>
        <w:t xml:space="preserve">at the Zenodo record root.</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2026-04-14T14:30:43Z</dcterms:created>
  <dcterms:modified xsi:type="dcterms:W3CDTF">2026-04-14T14:30:43Z</dcterms:modified>
</cp:coreProperties>
</file>

<file path=docProps/custom.xml><?xml version="1.0" encoding="utf-8"?>
<Properties xmlns="http://schemas.openxmlformats.org/officeDocument/2006/custom-properties" xmlns:vt="http://schemas.openxmlformats.org/officeDocument/2006/docPropsVTypes"/>
</file>