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5eca605e51c602f90ee6745fe8621c9a58ae06a"/>
    <w:p>
      <w:pPr>
        <w:pStyle w:val="Heading1"/>
      </w:pPr>
      <w:r>
        <w:t xml:space="preserve">When Dictionaries Hit a Polysemy Ceiling: Validating a Measure of Visibility Bias with LLMs and Behavioral Evidence</w:t>
      </w:r>
    </w:p>
    <w:p>
      <w:pPr>
        <w:pStyle w:val="FirstParagraph"/>
      </w:pPr>
      <w:r>
        <w:rPr>
          <w:i/>
          <w:iCs/>
        </w:rPr>
        <w:t xml:space="preserve">Hongyang Xi </w:t>
      </w:r>
      <w:r>
        <w:rPr>
          <w:rFonts w:hint="eastAsia"/>
          <w:i/>
          <w:iCs/>
        </w:rPr>
        <w:t xml:space="preserve">(奚红洋)¹†*</w:t>
      </w:r>
      <w:r>
        <w:rPr>
          <w:i/>
          <w:iCs/>
        </w:rPr>
        <w:t xml:space="preserve"> · Liu Can </w:t>
      </w:r>
      <w:r>
        <w:rPr>
          <w:rFonts w:hint="eastAsia"/>
          <w:i/>
          <w:iCs/>
        </w:rPr>
        <w:t xml:space="preserve">(刘灿)²†</w:t>
      </w:r>
      <w:r>
        <w:rPr>
          <w:i/>
          <w:iCs/>
        </w:rPr>
        <w:t xml:space="preserve"> · Zhihui Li </w:t>
      </w:r>
      <w:r>
        <w:rPr>
          <w:rFonts w:hint="eastAsia"/>
          <w:i/>
          <w:iCs/>
        </w:rPr>
        <w:t xml:space="preserve">(李志辉)¹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rFonts w:hint="eastAsia"/>
        </w:rPr>
        <w:t xml:space="preserve">示范,</w:t>
      </w:r>
      <w:r>
        <w:t xml:space="preserve"> </w:t>
      </w:r>
      <w:r>
        <w:rPr>
          <w:rFonts w:hint="eastAsia"/>
        </w:rPr>
        <w:t xml:space="preserve">面子</w:t>
      </w:r>
      <w:r>
        <w:t xml:space="preserve"> —</w:t>
      </w:r>
      <w:r>
        <w:t xml:space="preserve"> </w:t>
      </w:r>
      <w:r>
        <w:t xml:space="preserve">“image”</w:t>
      </w:r>
      <w:r>
        <w:t xml:space="preserve">,</w:t>
      </w:r>
      <w:r>
        <w:t xml:space="preserve"> </w:t>
      </w:r>
      <w:r>
        <w:t xml:space="preserve">“model/demonstration”</w:t>
      </w:r>
      <w:r>
        <w:t xml:space="preserve">,</w:t>
      </w:r>
      <w:r>
        <w:t xml:space="preserve"> </w:t>
      </w:r>
      <w:r>
        <w:t xml:space="preserve">“face”</w:t>
      </w:r>
      <w:r>
        <w:t xml:space="preserve">) fire pervasively outside infrastructure contexts. Restricting the lexicon to concrete visible-construction terms (roads, greening, parks, bridges vs. drainage, pipes, sewerage), aligned with the Wu–Zhou (2018) cosmetic-investment classification,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in</w:t>
      </w:r>
      <w:r>
        <w:t xml:space="preserve"> </w:t>
      </w:r>
      <w:r>
        <w:rPr>
          <w:rFonts w:hint="eastAsia"/>
        </w:rPr>
        <w:t xml:space="preserve">“新型工业化道路”</w:t>
      </w:r>
      <w:r>
        <w:t xml:space="preserve">; </w:t>
      </w:r>
      <w:r>
        <w:rPr>
          <w:rFonts w:hint="eastAsia"/>
        </w:rPr>
        <w:t xml:space="preserve">轨道</w:t>
      </w:r>
      <w:r>
        <w:t xml:space="preserve"> in</w:t>
      </w:r>
      <w:r>
        <w:t xml:space="preserve"> </w:t>
      </w:r>
      <w:r>
        <w:rPr>
          <w:rFonts w:hint="eastAsia"/>
        </w:rPr>
        <w:t xml:space="preserve">“轨道交通产业”</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10.5281/zenodo.19569979</w:t>
        </w:r>
      </w:hyperlink>
      <w:r>
        <w:t xml:space="preserve">.</w:t>
      </w:r>
    </w:p>
    <w:bookmarkEnd w:id="12"/>
    <w:bookmarkStart w:id="15" w:name="introduction"/>
    <w:p>
      <w:pPr>
        <w:pStyle w:val="Heading1"/>
      </w:pPr>
      <w:r>
        <w:t xml:space="preserve">1. Introduction</w:t>
      </w:r>
    </w:p>
    <w:p>
      <w:pPr>
        <w:pStyle w:val="FirstParagraph"/>
      </w:pPr>
      <w:r>
        <w:t xml:space="preserve">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Our case is</w:t>
      </w:r>
      <w:r>
        <w:t xml:space="preserve"> </w:t>
      </w:r>
      <w:r>
        <w:rPr>
          <w:b/>
          <w:bCs/>
        </w:rPr>
        <w:t xml:space="preserve">visibility bias</w:t>
      </w:r>
      <w:r>
        <w:t xml:space="preserve"> </w:t>
      </w:r>
      <w:r>
        <w:t xml:space="preserve">in Chinese municipal government work reports (GWRs):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aligned with an established cosmetic-investment classification [Wu &amp; Zhou 2018]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in</w:t>
      </w:r>
      <w:r>
        <w:t xml:space="preserve">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in</w:t>
      </w:r>
      <w:r>
        <w:t xml:space="preserve">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lesson generalizes beyond our case: for compositional constructs carried by polysemous everyday words, dictionary precision is bounded by the language, not by the analyst’s diligence, and supervised or LLM classification is the appropriate high-precision route.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10.5281/zenodo.19569979),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w:t>
      </w:r>
      <w:r>
        <w:rPr>
          <w:rFonts w:hint="eastAsia"/>
        </w:rPr>
        <w:t xml:space="preserve">(政府研究室)</w:t>
      </w:r>
      <w:r>
        <w:t xml:space="preserv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w:t>
      </w:r>
      <w:r>
        <w:rPr>
          <w:rFonts w:hint="eastAsia"/>
        </w:rPr>
        <w:t xml:space="preserve">(目标责任制)</w:t>
      </w:r>
      <w:r>
        <w:t xml:space="preserve"> and performance-assessment </w:t>
      </w:r>
      <w:r>
        <w:rPr>
          <w:rFonts w:hint="eastAsia"/>
        </w:rPr>
        <w:t xml:space="preserve">(绩效考核)</w:t>
      </w:r>
      <w:r>
        <w:t xml:space="preserve">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aligned with the Wu &amp; Zhou (2018) cosmetic-investment classification.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(Wu–Zhou-aligned)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t xml:space="preserve">“garden/landscaping”</w:t>
      </w:r>
      <w:r>
        <w:t xml:space="preserve">) is also the award </w:t>
      </w:r>
      <w:r>
        <w:rPr>
          <w:rFonts w:hint="eastAsia"/>
        </w:rPr>
        <w:t xml:space="preserve">国家园林城市.</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21, 22].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(2019–2024)</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10.5281/zenodo.19569979)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+0.0103</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The case yields three lessons that travel beyond Chinese government text.</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21, 22]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Human intercoder agreement is pending a second coder.</w:t>
      </w:r>
      <w:r>
        <w:t xml:space="preserve"> </w:t>
      </w:r>
      <w:r>
        <w:t xml:space="preserve">Our current agreement statistic is human↔ensemble (Cohen κ = 0.66); the pre-registered</w:t>
      </w:r>
      <w:r>
        <w:t xml:space="preserve"> </w:t>
      </w:r>
      <w:r>
        <w:rPr>
          <w:i/>
          <w:iCs/>
        </w:rPr>
        <w:t xml:space="preserve">human</w:t>
      </w:r>
      <w:r>
        <w:t xml:space="preserve"> </w:t>
      </w:r>
      <w:r>
        <w:t xml:space="preserve">intercoder κ requires a second independent coder, now being recruited, and the final precision/recall figures may shift modestly under full human double-coding.</w:t>
      </w:r>
    </w:p>
    <w:p>
      <w:pPr>
        <w:pStyle w:val="Compact"/>
        <w:numPr>
          <w:ilvl w:val="0"/>
          <w:numId w:val="1007"/>
        </w:numPr>
      </w:pPr>
      <w:r>
        <w:rPr>
          <w:b/>
          <w:bCs/>
        </w:rPr>
        <w:t xml:space="preserve">The procurement check is provincial and count-based.</w:t>
      </w:r>
      <w:r>
        <w:t xml:space="preserve"> </w:t>
      </w:r>
      <w:r>
        <w:t xml:space="preserve">It covers Zhejiang (2019–2024) and exposes project counts, not amounts; counts are confounded by project packaging. It corroborates frequency only; magnitude rests on the accounting CIR.</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w:t>
      </w:r>
      <w:r>
        <w:rPr>
          <w:rFonts w:hint="eastAsia"/>
        </w:rPr>
        <w:t xml:space="preserve">重要报纸</w:t>
      </w:r>
      <w:r>
        <w:t xml:space="preserve">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is portable to any setting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general points outlast the case.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10.5281/zenodo.19569979;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10.5281/zenodo.19569979</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 </w:t>
      </w:r>
      <w:r>
        <w:rPr>
          <w:rFonts w:hint="eastAsia"/>
        </w:rPr>
        <w:t xml:space="preserve">回头看</w:t>
      </w:r>
      <w:r>
        <w:t xml:space="preserve"> 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w:t>
      </w:r>
      <w:r>
        <w:rPr>
          <w:rFonts w:hint="eastAsia"/>
        </w:rPr>
        <w:t xml:space="preserve">吉安,</w:t>
      </w:r>
      <w:r>
        <w:t xml:space="preserve"> </w:t>
      </w:r>
      <w:r>
        <w:rPr>
          <w:rFonts w:hint="eastAsia"/>
        </w:rPr>
        <w:t xml:space="preserve">松原,</w:t>
      </w:r>
      <w:r>
        <w:t xml:space="preserve"> </w:t>
      </w:r>
      <w:r>
        <w:rPr>
          <w:rFonts w:hint="eastAsia"/>
        </w:rPr>
        <w:t xml:space="preserve">梅州,</w:t>
      </w:r>
      <w:r>
        <w:t xml:space="preserve"> </w:t>
      </w:r>
      <w:r>
        <w:rPr>
          <w:rFonts w:hint="eastAsia"/>
        </w:rPr>
        <w:t xml:space="preserve">白山).</w:t>
      </w:r>
      <w:r>
        <w:t xml:space="preserve">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w:t>
      </w:r>
      <w:r>
        <w:rPr>
          <w:rFonts w:hint="eastAsia"/>
        </w:rPr>
        <w:t xml:space="preserve">重要报纸</w:t>
      </w:r>
      <w:r>
        <w:t xml:space="preserve">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w:t>
      </w:r>
      <w:r>
        <w:rPr>
          <w:rFonts w:hint="eastAsia"/>
        </w:rPr>
        <w:t xml:space="preserve">重要报纸</w:t>
      </w:r>
      <w:r>
        <w:t xml:space="preserve">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When Dictionaries Hit a Polysemy Ceiling: Validating a Measure of Visibility Bias with LLMs and Behavioral Evidence</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10.5281/zenodo.19569979</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19569979):</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r>
        <w:t xml:space="preserve"> </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r>
        <w:t xml:space="preserve"> </w:t>
      </w:r>
    </w:p>
    <w:p>
      <w:pPr>
        <w:numPr>
          <w:ilvl w:val="0"/>
          <w:numId w:val="1010"/>
        </w:numPr>
      </w:pPr>
      <w:r>
        <w:t xml:space="preserve">Wu, [—], &amp; Zhou, [—]. (2018). [</w:t>
      </w:r>
      <w:r>
        <w:rPr>
          <w:b/>
          <w:bCs/>
        </w:rPr>
        <w:t xml:space="preserve">ANDY TO SUPPLY</w:t>
      </w:r>
      <w:r>
        <w:t xml:space="preserve"> </w:t>
      </w:r>
      <w:r>
        <w:t xml:space="preserve">— the cosmetic-vs-functional urban-construction investment classification to which the concrete lexicon is aligned (</w:t>
      </w:r>
      <w:r>
        <w:rPr>
          <w:rFonts w:hint="eastAsia"/>
        </w:rPr>
        <w:t xml:space="preserve">“吴周2018投资分类”</w:t>
      </w:r>
      <w:r>
        <w:t xml:space="preserve">, per</w:t>
      </w:r>
      <w:r>
        <w:t xml:space="preserve"> </w:t>
      </w:r>
      <w:r>
        <w:rPr>
          <w:rStyle w:val="VerbatimChar"/>
        </w:rPr>
        <w:t xml:space="preserve">build_workreport_text.py</w:t>
      </w:r>
      <w:r>
        <w:t xml:space="preserve">); cited in the abstract and §3.2.2. Full author initials, title, venue, vol/issue/pages, DOI required before submission. Not found in CrossRef — likely a Chinese-language (CNKI) source.]</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9"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2026-06-19T11:56:21Z</dcterms:created>
  <dcterms:modified xsi:type="dcterms:W3CDTF">2026-06-19T11:56:21Z</dcterms:modified>
</cp:coreProperties>
</file>

<file path=docProps/custom.xml><?xml version="1.0" encoding="utf-8"?>
<Properties xmlns="http://schemas.openxmlformats.org/officeDocument/2006/custom-properties" xmlns:vt="http://schemas.openxmlformats.org/officeDocument/2006/docPropsVTypes"/>
</file>