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visible-versus-functional language, from the stronger claim of strategic visibility bias. We validate VAI at the passage level against human coding (two coders, Cohen κ = 0.70) and report its limits plainly. A naive appearance-word dictionary reaches only 0.10 precision,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 0.50–0.60 but meets a polysemy ceiling, above which only an LLM ensemble attains high precision (0.84 accuracy; inter-model Fleiss κ = 0.835). We then add a behavioral criterion-validity test. Under quasi-exogenous, retirement-driven secretary turnover, the concrete VAI co-moves with real cosmetic investment (+0.010, p = 0.01; clean pre-trends) while the naive measure does not (+0.002); the valid measure tracks strategic attention, not genre. Descriptively, within-city VAI tracks the Cosmetic Investment Ratio (β = +0.111), and an independent procurement corpus (≈2.96M Zhejiang records) corroborates the tilt, with visible projects running about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(legislative speeches, agency reports, municipal plans)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monolingual (English-dominated), aim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are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 visible versus functional 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 visibility bias, namely preferential attention to observationally-salient categories over less-salient but functionally-equivalent ones,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a consequentiality we document rather than assert (§3.1.0).</w:t>
      </w:r>
    </w:p>
    <w:p>
      <w:pPr>
        <w:pStyle w:val="BodyText"/>
      </w:pPr>
      <w:r>
        <w:t xml:space="preserve">We proceed in three moves.</w:t>
      </w:r>
    </w:p>
    <w:p>
      <w:pPr>
        <w:pStyle w:val="BodyText"/>
      </w:pPr>
      <w:r>
        <w:t xml:space="preserve">First,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t xml:space="preserve">Second, we construct VAI and validate it. In this revision we lead with the validation the original draft lacked and report each rung honestly (§3.2). (i) Direct passage-level validation 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 concrete, salience-based lexicon, the VAI lexicon we recommend, raises precision to</w:t>
      </w:r>
      <w:r>
        <w:t xml:space="preserve"> </w:t>
      </w:r>
      <w:r>
        <w:rPr>
          <w:b/>
          <w:bCs/>
        </w:rPr>
        <w:t xml:space="preserve">0.50, and 0.60 after targeted refinement, at 0.79 recall</w:t>
      </w:r>
      <w:r>
        <w:t xml:space="preserve">, but meets a polysemy ceiling 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 LLM-ensemble classifier attains</w:t>
      </w:r>
      <w:r>
        <w:t xml:space="preserve"> </w:t>
      </w:r>
      <w:r>
        <w:rPr>
          <w:b/>
          <w:bCs/>
        </w:rPr>
        <w:t xml:space="preserve">0.84 accuracy</w:t>
      </w:r>
      <w:r>
        <w:t xml:space="preserve"> </w:t>
      </w:r>
      <w:r>
        <w:t xml:space="preserve">(inter-model Fleiss κ = 0.835), above the dictionary ceiling. (iv) A behavioral criterion-validity test (§3.2.7):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 fails (r = −0.15) and is reported plainly as bounding the instrument’s domain.</w:t>
      </w:r>
    </w:p>
    <w:p>
      <w:pPr>
        <w:pStyle w:val="BodyText"/>
      </w:pPr>
      <w:r>
        <w:t xml:space="preserve">Third, we present descriptive applications of VAI (§4). One is a within-city association between VAI and the accounting-based Cosmetic Investment Ratio (β = +0.111, p = 0.002), reported as compositional substitution rather than a causal effect. The other, new in this revision, is an independent public-procurement corpus (≈2.96M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1"/>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including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1"/>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and supply an LLM route past it. The central result is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1"/>
        </w:numPr>
      </w:pPr>
      <w:r>
        <w:rPr>
          <w:b/>
          <w:bCs/>
        </w:rPr>
        <w:t xml:space="preserve">Pre-registration and transparent null-reporting.</w:t>
      </w:r>
      <w:r>
        <w:t xml:space="preserve"> </w:t>
      </w:r>
      <w:r>
        <w:t xml:space="preserve">We pre-register the instrument and its validity tests at OSF (DOI 10.17605/OSF.IO/ZMJY5) and report all null and failed results transparently [9, 10]. These include a failed third-party validation, a non-robust causal event study, and a null micro-foundation test.</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13"/>
    <w:bookmarkStart w:id="1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demoted to supporting material,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Its purpose is to</w:t>
      </w:r>
      <w:r>
        <w:t xml:space="preserve"> </w:t>
      </w:r>
      <w:r>
        <w:rPr>
          <w:i/>
          <w:iCs/>
        </w:rPr>
        <w:t xml:space="preserve">motivate the measurement problem and define the construct</w:t>
      </w:r>
      <w:r>
        <w:t xml:space="preserve"> </w:t>
      </w:r>
      <w:r>
        <w:t xml:space="preserve">rather than to identify structural parameters. A fuller formal treatment, an official’s allocation problem under precision-weighted evaluation with closed-form comparative statics,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That audience is primarily the superior (provincial) authority controlling promotion, and secondarily inspectors, media, and citizens. We define</w:t>
      </w:r>
      <w:r>
        <w:t xml:space="preserve"> </w:t>
      </w:r>
      <w:r>
        <w:rPr>
          <w:b/>
          <w:bCs/>
        </w:rPr>
        <w:t xml:space="preserve">visible</w:t>
      </w:r>
      <w:r>
        <w:t xml:space="preserve"> </w:t>
      </w:r>
      <w:r>
        <w:t xml:space="preserve">capital by observability and salience to that audience rather than by physical surface:</w:t>
      </w:r>
    </w:p>
    <w:p>
      <w:pPr>
        <w:pStyle w:val="Compact"/>
        <w:numPr>
          <w:ilvl w:val="0"/>
          <w:numId w:val="1002"/>
        </w:numPr>
      </w:pPr>
      <w:r>
        <w:rPr>
          <w:b/>
          <w:bCs/>
        </w:rPr>
        <w:t xml:space="preserve">Visible</w:t>
      </w:r>
      <w:r>
        <w:t xml:space="preserve">: output that the evaluating audience readily perceives and attributes to the incumbent: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drainage, water and gas pipe networks, sewerage, heating, and structural safety.</w:t>
      </w:r>
    </w:p>
    <w:p>
      <w:pPr>
        <w:pStyle w:val="FirstParagraph"/>
      </w:pPr>
      <w:r>
        <w:t xml:space="preserve">The substantive premise is an observability asymmetry.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namely inspection frequency, media-reporting intensity, and the visibility of failures in the accident record, are consistent with it (Online Appendix C.4). The conceptual move that matters here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(§4.5).</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and toward</w:t>
      </w:r>
      <w:r>
        <w:t xml:space="preserve"> </w:t>
      </w:r>
      <w:r>
        <w:rPr>
          <w:i/>
          <w:iCs/>
        </w:rPr>
        <w:t xml:space="preserve">describing</w:t>
      </w:r>
      <w:r>
        <w:t xml:space="preserve"> </w:t>
      </w:r>
      <w:r>
        <w:t xml:space="preserve">salient categories, because attention to the legible margin yields more perceived performance per yuan. Two implications follow for measurement, and they structure the rest of the paper:</w:t>
      </w:r>
    </w:p>
    <w:p>
      <w:pPr>
        <w:numPr>
          <w:ilvl w:val="0"/>
          <w:numId w:val="1003"/>
        </w:numPr>
      </w:pPr>
      <w:r>
        <w:t xml:space="preserve">A valid text measure of compositional attention should track real visible-investment composition. This is the basis for cross-source and, equally, behavioral validation: the right measure should co-move with accounting-based cosmetic investment, and should do so under exogenous shifts in career incentives (§4).</w:t>
      </w:r>
    </w:p>
    <w:p>
      <w:pPr>
        <w:numPr>
          <w:ilvl w:val="0"/>
          <w:numId w:val="1003"/>
        </w:numPr>
      </w:pPr>
      <w:r>
        <w:t xml:space="preserve">The signal lives in concrete, salience-bearing referents. 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Those abstract words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yields</w:t>
      </w:r>
      <w:r>
        <w:t xml:space="preserve"> </w:t>
      </w:r>
      <w:r>
        <w:rPr>
          <w:i/>
          <w:iCs/>
        </w:rPr>
        <w:t xml:space="preserve">predictions about what a valid measure should look like and do</w:t>
      </w:r>
      <w:r>
        <w:t xml:space="preserve">. It is not a vehicle for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We invoke the observability-asymmetry premise again only to interpret the behavioral co-movement in §4.</w:t>
      </w:r>
    </w:p>
    <w:bookmarkEnd w:id="18"/>
    <w:bookmarkEnd w:id="19"/>
    <w:bookmarkStart w:id="36" w:name="measurement-and-validation"/>
    <w:p>
      <w:pPr>
        <w:pStyle w:val="Heading1"/>
      </w:pPr>
      <w:r>
        <w:t xml:space="preserve">3. Measurement and Validation</w:t>
      </w:r>
    </w:p>
    <w:bookmarkStart w:id="2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the share of attention across two substantively-paired asset classes within one policy domain, rather than a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20"/>
    <w:bookmarkStart w:id="2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typically 20,000–60,000 Chinese characters, are the single most important institutional text a municipal government produces each year. Our corpus covers 6,294 GWRs from 282 prefecture-level cities, 2002–2024, compiled from provincial government portals and the zhengfugongzuobaogao.com repository, each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the channel through which the observability asymmetry of §2.1 operates. The lateral citizen channel is reported as a bounded null (§4.5) rather than asserted as the mechanism.</w:t>
      </w:r>
    </w:p>
    <w:bookmarkEnd w:id="21"/>
    <w:bookmarkStart w:id="2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 42 visible terms,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against 38 functional terms. As the passage-level validation in §3.2.0 shows, this naive lexicon fails: the abstract appearance words are polysemous and fire pervasively outside infrastructure. We therefore refine VAI to a concrete, salience-based lexicon 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 The refined version pairs 20 concrete visible terms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with 16 concealed-utility functional terms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 metro/rail. It is physically underground yet daily-used, media-celebrated, and unmissable to an evaluating superior,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22"/>
    <w:bookmarkStart w:id="2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23"/>
    <w:bookmarkStart w:id="2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which justifies the city and year fixed effects in §4. The within-city time-variation is what the behavioral test in §3.2.7 exploits.</w:t>
      </w:r>
    </w:p>
    <w:bookmarkEnd w:id="24"/>
    <w:bookmarkEnd w:id="25"/>
    <w:bookmarkStart w:id="34" w:name="construct-validity"/>
    <w:p>
      <w:pPr>
        <w:pStyle w:val="Heading2"/>
      </w:pPr>
      <w:r>
        <w:t xml:space="preserve">3.2 Construct Validity</w:t>
      </w:r>
    </w:p>
    <w:p>
      <w:pPr>
        <w:pStyle w:val="FirstParagraph"/>
      </w:pPr>
      <w:r>
        <w:t xml:space="preserve">The central question is whether a text measure captures the construct, the visible-versus-functional composition of infrastructure language, rather than an artifact of lexicon selection or genre. We lead with the most direct evidence, a passage-level comparison against human coding (§3.2.0). We then report a pre-registered battery of indirect checks (E-A–E-F, §3.2.1–§3.2.6), and finally the decisive behavioral criterion-validity test (§3.2.7).</w:t>
      </w:r>
    </w:p>
    <w:bookmarkStart w:id="2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 visible, functional, mixed, or irrelevant. A human gold standard of 120 sentences, independently double-coded by two coders (dictionary and model labels hidden), anchors the analysis (intercoder Cohen κ = 0.70, substantial; Online Appendix C.8). Against the human labels we report a full confusion matrix, per-class precision/recall, verbatim error exemplars, and an error taxonomy. The findings define a precision ladder (Figure 1):</w:t>
      </w:r>
    </w:p>
    <w:p>
      <w:pPr>
        <w:pStyle w:val="Compact"/>
        <w:numPr>
          <w:ilvl w:val="0"/>
          <w:numId w:val="1004"/>
        </w:numPr>
      </w:pPr>
      <w:r>
        <w:rPr>
          <w:b/>
          <w:bCs/>
        </w:rPr>
        <w:t xml:space="preserve">The naive dictionary fails.</w:t>
      </w:r>
      <w:r>
        <w:t xml:space="preserve"> </w:t>
      </w:r>
      <w:r>
        <w:t xml:space="preserve">Visible-class precision against human coding is only 0.10 (recall 0.43). The diagnosis is single-cause: one polysemous term, </w:t>
      </w:r>
      <w:r>
        <w:rPr>
          <w:rFonts w:hint="eastAsia"/>
        </w:rPr>
        <w:t xml:space="preserve">示范</w:t>
      </w:r>
      <w:r>
        <w:t xml:space="preserve"> </w:t>
      </w:r>
      <w:r>
        <w:rPr>
          <w:i/>
          <w:iCs/>
        </w:rPr>
        <w:t xml:space="preserve">shìfàn</w:t>
      </w:r>
      <w:r>
        <w:t xml:space="preserve">, alone produces 60–61 of 84 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4"/>
        </w:numPr>
      </w:pPr>
      <w:r>
        <w:rPr>
          <w:b/>
          <w:bCs/>
        </w:rPr>
        <w:t xml:space="preserve">The concrete lexicon improves greatly but meets a ceiling.</w:t>
      </w:r>
      <w:r>
        <w:t xml:space="preserve"> </w:t>
      </w:r>
      <w:r>
        <w:t xml:space="preserve">Restricting to concrete, salience-based terms raises visible precision to 0.50, and to 0.60 after targeted refinement, at 0.79 recall. Curation cannot push past ~0.60–0.64.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appears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 polysemy ceiling, not a curation failure.</w:t>
      </w:r>
    </w:p>
    <w:p>
      <w:pPr>
        <w:pStyle w:val="Compact"/>
        <w:numPr>
          <w:ilvl w:val="0"/>
          <w:numId w:val="1004"/>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 0.84 accuracy against the human gold standard with inter-model Fleiss κ = 0.835. This is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26"/>
    <w:bookmarkStart w:id="2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 internal reliability rather than independent construct validity: both lexicons are drawn from the same governance genre, so overlap is expected.</w:t>
      </w:r>
    </w:p>
    <w:bookmarkEnd w:id="27"/>
    <w:bookmarkStart w:id="2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and it is no longer the lead validity evidence.</w:t>
      </w:r>
    </w:p>
    <w:bookmarkEnd w:id="28"/>
    <w:bookmarkStart w:id="2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29"/>
    <w:bookmarkStart w:id="3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This is independent evidence from accounting rather than text, modest in magnitude.</w:t>
      </w:r>
    </w:p>
    <w:bookmarkEnd w:id="30"/>
    <w:bookmarkStart w:id="3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 not 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31"/>
    <w:bookmarkStart w:id="32" w:name="results-of-the-indirect-battery"/>
    <w:p>
      <w:pPr>
        <w:pStyle w:val="Heading3"/>
      </w:pPr>
      <w:r>
        <w:t xml:space="preserve">3.2.6 Results of the indirect battery</w:t>
      </w:r>
    </w:p>
    <w:p>
      <w:pPr>
        <w:pStyle w:val="FirstParagraph"/>
      </w:pPr>
      <w:r>
        <w:rPr>
          <w:b/>
          <w:bCs/>
        </w:rPr>
        <w:t xml:space="preserve">Table 1.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32"/>
    <w:bookmarkStart w:id="3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 retirement-driven turnover 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2; the pattern is plotted in Figure 2):</w:t>
      </w:r>
    </w:p>
    <w:p>
      <w:pPr>
        <w:pStyle w:val="BodyText"/>
      </w:pPr>
      <w:r>
        <w:rPr>
          <w:b/>
          <w:bCs/>
        </w:rPr>
        <w:t xml:space="preserve">Table 2.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 concrete VAI rises in lockstep, both with clean pre-trends (the future-turnover placebo is null), while the naive VAI does not respond at all. A genre or template artifact would not co-move with money under an exogenous shock; a strategic-attention measure does. This behavioral co-movement, rather than passage precision, is the strongest evidence that the construct is real and that the</w:t>
      </w:r>
      <w:r>
        <w:t xml:space="preserve"> </w:t>
      </w:r>
      <w:r>
        <w:rPr>
          <w:i/>
          <w:iCs/>
        </w:rPr>
        <w:t xml:space="preserve">valid</w:t>
      </w:r>
      <w:r>
        <w:t xml:space="preserve"> </w:t>
      </w:r>
      <w:r>
        <w:t xml:space="preserve">(concrete) measure captures it. It is also what licenses the term</w:t>
      </w:r>
      <w:r>
        <w:t xml:space="preserve"> </w:t>
      </w:r>
      <w:r>
        <w:t xml:space="preserve">“visibility bias”</w:t>
      </w:r>
      <w:r>
        <w:t xml:space="preserve"> </w:t>
      </w:r>
      <w:r>
        <w:t xml:space="preserve">rather than merely</w:t>
      </w:r>
      <w:r>
        <w:t xml:space="preserve"> </w:t>
      </w:r>
      <w:r>
        <w:t xml:space="preserve">“visible-infrastructure rhetoric.”</w:t>
      </w:r>
    </w:p>
    <w:p>
      <w:pPr>
        <w:pStyle w:val="BodyText"/>
      </w:pPr>
      <w:r>
        <w:t xml:space="preserve">The 2005–2015 window is the coverage of the yearbook’s municipal fixed-asset</w:t>
      </w:r>
      <w:r>
        <w:t xml:space="preserve"> </w:t>
      </w:r>
      <w:r>
        <w:rPr>
          <w:i/>
          <w:iCs/>
        </w:rPr>
        <w:t xml:space="preserve">investment</w:t>
      </w:r>
      <w:r>
        <w:t xml:space="preserve">-by-category table (the CIR source), not a window chosen after the fact. As a check, we re-ran the same turnover test on a longer-span</w:t>
      </w:r>
      <w:r>
        <w:t xml:space="preserve"> </w:t>
      </w:r>
      <w:r>
        <w:rPr>
          <w:i/>
          <w:iCs/>
        </w:rPr>
        <w:t xml:space="preserve">physical-stock</w:t>
      </w:r>
      <w:r>
        <w:t xml:space="preserve"> </w:t>
      </w:r>
      <w:r>
        <w:t xml:space="preserve">cosmetic measure available for 2002–2024, the annual increment in built-up green-space coverage, and find a co-movement that is directionally consistent but not statistically significant (+0.20, p = 0.12). The behavioral signal is therefore carried by investment composition, which officials can re-direct within a budget year, rather than by slow-moving physical stocks. A cross-sectional physical-stock measure likewise shows no within-city signal.</w:t>
      </w:r>
    </w:p>
    <w:bookmarkEnd w:id="33"/>
    <w:bookmarkEnd w:id="34"/>
    <w:bookmarkStart w:id="35" w:name="data"/>
    <w:p>
      <w:pPr>
        <w:pStyle w:val="Heading2"/>
      </w:pPr>
      <w:r>
        <w:t xml:space="preserve">3.3 Data</w:t>
      </w:r>
    </w:p>
    <w:p>
      <w:pPr>
        <w:pStyle w:val="FirstParagraph"/>
      </w:pPr>
      <w:r>
        <w:t xml:space="preserve">The text corpus (§3.1) is combined with five further sources. The</w:t>
      </w:r>
      <w:r>
        <w:t xml:space="preserve"> </w:t>
      </w:r>
      <w:r>
        <w:rPr>
          <w:b/>
          <w:bCs/>
        </w:rPr>
        <w:t xml:space="preserve">China Urban Construction Statistical Yearbook (Ministry of Construction / MOHURD, 2005–2015)</w:t>
      </w:r>
      <w:r>
        <w:t xml:space="preserve"> </w:t>
      </w:r>
      <w:r>
        <w:t xml:space="preserve">is the source of the accounting CIR (cosmetic categories ÷ total urban-construction investment) and of the cosmetic/functional split the concrete lexicon mirrors. A city-year control panel covers 282 cities × 2002–2024. A municipal-leader panel gives party-secretary turnover, tenure, and age (the basis for the retirement-driven shock in §3.2.7). The China Family Panel Studies (CFPS, 2010–2022) supplies the bounded individual-level null (§4.5). Zhejiang public-procurement records (≈2,957,789 announcements, predominantly 2019–2026, national</w:t>
      </w:r>
      <w:r>
        <w:t xml:space="preserve"> </w:t>
      </w:r>
      <w:r>
        <w:rPr>
          <w:rStyle w:val="VerbatimChar"/>
        </w:rPr>
        <w:t xml:space="preserve">ggzy.gov.cn</w:t>
      </w:r>
      <w:r>
        <w:t xml:space="preserve"> </w:t>
      </w:r>
      <w:r>
        <w:t xml:space="preserve">platform) provide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35"/>
    <w:bookmarkEnd w:id="36"/>
    <w:bookmarkStart w:id="4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It was passage-validated against human coding (§3.2.0) and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rather than a causal theory.</w:t>
      </w:r>
    </w:p>
    <w:bookmarkStart w:id="37" w:name="X51673404ba14cbcc7c29233ee762782bef3c779"/>
    <w:p>
      <w:pPr>
        <w:pStyle w:val="Heading2"/>
      </w:pPr>
      <w:r>
        <w:t xml:space="preserve">4.1 Application I: Compositional substitution in accounting data (P1)</w:t>
      </w:r>
    </w:p>
    <w:p>
      <w:pPr>
        <w:pStyle w:val="FirstParagraph"/>
      </w:pPr>
      <w:r>
        <w:t xml:space="preserve">Our pre-registered H1 holds that 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3.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 null on total investment (ln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 pre-registered 24-permutation specification curve gives median β = +0.107 with 24/24 positive and 22/24 significant (Online Appendix B.1). We read this as a descriptive compositional-substitution association, conditional on the instrument’s validity, and stop short of a causal claim.</w:t>
      </w:r>
    </w:p>
    <w:bookmarkEnd w:id="37"/>
    <w:bookmarkStart w:id="3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4.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It cannot arise from lexicon-selection (same lexicon), from author-style (the same author writes both sections), or from report-length (VAI is a ratio). We nonetheless report it as suggestive corroboration rather than a behavioral signature, since,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3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38"/>
    <w:bookmarkEnd w:id="39"/>
    <w:bookmarkStart w:id="4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(≈2,957,789 records, predominantly 2019–2026, national</w:t>
      </w:r>
      <w:r>
        <w:t xml:space="preserve"> </w:t>
      </w:r>
      <w:r>
        <w:rPr>
          <w:rStyle w:val="VerbatimChar"/>
        </w:rPr>
        <w:t xml:space="preserve">ggzy.gov.cn</w:t>
      </w:r>
      <w:r>
        <w:t xml:space="preserve"> </w:t>
      </w:r>
      <w:r>
        <w:t xml:space="preserve">platform) by the same visible-versus-functional construction distinction. Visible-type projects outnumber functional ones by roughly 2-to-1 overall (2.1-to-1 among first-stage tender notices, the cleanest one-per-project proxy), and the tilt is pervasive rather than local: visible exceeds functional in 97 of 108 localities with sufficient volume (median city ratio 1.8; the exceptions are small county-level units; Online Appendix Figure ESM-6). Going beyond counts, we recover each project’s investment amount from the tender briefs (16,794 award-stage projects, 2023–2024). Visible and functional projects are of broadly similar typical size (median ¥5.8M vs ¥4.7M), but the visible category owns the high-value tail.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 domain-expert (urban- and rural-planning) sign-off (Authors’ Contributions); the lexicon, re-pull and analysis code, per-city table, and amount distribution are deposited (</w:t>
      </w:r>
      <w:r>
        <w:rPr>
          <w:rStyle w:val="VerbatimChar"/>
        </w:rPr>
        <w:t xml:space="preserve">03-analysis/phase-L-bidding/</w:t>
      </w:r>
      <w:r>
        <w:t xml:space="preserve">). One caveat is that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40"/>
    <w:bookmarkStart w:id="4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 We deliberately do not headline this number. It depends on strong assumptions that we have not independently validated: the Cobb-Douglas welfare function, the social-optimum benchmark, and the text-to-spending mapping. The derivation and sensitivity table are in Online Appendix A and C.7, and we attach no policy weight to the magnitude.</w:t>
      </w:r>
    </w:p>
    <w:bookmarkEnd w:id="41"/>
    <w:bookmarkStart w:id="4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 reverses the sign (β = +0.016). The narrow-window result is a staggered-treatment-heterogeneity artifact [14, 15, 16] rather than a causal inspection effect (deviations D-B-1/2/3).</w:t>
      </w:r>
    </w:p>
    <w:p>
      <w:pPr>
        <w:pStyle w:val="BodyText"/>
      </w:pPr>
      <w:r>
        <w:rPr>
          <w:b/>
          <w:bCs/>
        </w:rPr>
        <w:t xml:space="preserve">Null 2,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and is reported as exploratory (deviation D-F-1).</w:t>
      </w:r>
    </w:p>
    <w:bookmarkEnd w:id="42"/>
    <w:bookmarkStart w:id="4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It co-moves with real cosmetic investment under an exogenous turnover shock while the naive measure does not (§3.2.7). In an entirely independent procurement corpus it is corroborated by a ≈2:1 visible-over-functional tilt across 97 of 108 localities and a visible-dominated spending tail (§4.3), and it shows a suggestive within-document differential (§4.2). The inspection event study, the CFPS micro-foundation, and the welfare calibration are demoted and reported transparently; they limit, rather than support, the causal and welfare claims the instrument can carry.</w:t>
      </w:r>
    </w:p>
    <w:bookmarkEnd w:id="43"/>
    <w:bookmarkEnd w:id="44"/>
    <w:bookmarkStart w:id="50" w:name="discussion"/>
    <w:p>
      <w:pPr>
        <w:pStyle w:val="Heading1"/>
      </w:pPr>
      <w:r>
        <w:t xml:space="preserve">5. Discussion</w:t>
      </w:r>
    </w:p>
    <w:bookmarkStart w:id="45" w:name="X945345326af62cdaafcf83065f2eefac3d277ed"/>
    <w:p>
      <w:pPr>
        <w:pStyle w:val="Heading2"/>
      </w:pPr>
      <w:r>
        <w:t xml:space="preserve">5.1 What the paper establishes methodologically</w:t>
      </w:r>
    </w:p>
    <w:p>
      <w:pPr>
        <w:pStyle w:val="FirstParagraph"/>
      </w:pPr>
      <w:r>
        <w:t xml:space="preserve">The paper’s contribution is the Visibility Attention Index, a pre-registered, replicable instrument for the visible-versus-functional composition of infrastructure language. It is now validated more rigorously than in the original draft, and honestly bounded:</w:t>
      </w:r>
    </w:p>
    <w:p>
      <w:pPr>
        <w:pStyle w:val="Compact"/>
        <w:numPr>
          <w:ilvl w:val="0"/>
          <w:numId w:val="1005"/>
        </w:numPr>
      </w:pPr>
      <w:r>
        <w:t xml:space="preserve">Direct passage-level validation (§3.2.0):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5"/>
        </w:numPr>
      </w:pPr>
      <w:r>
        <w:t xml:space="preserve">Behavioral criterion validity (§3.2.7) is the test that does the work.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5"/>
        </w:numPr>
      </w:pPr>
      <w:r>
        <w:t xml:space="preserve">A cross-source accounting correlation (E-D, r = 0.24) provides independent external evidence, modest in magnitude. An independent-dictionary replication (E-A, r = 0.93) is a reliability check rather than a validation. And an independent procurement corroboration (§4.3) shows a ≈2:1 visible-over-functional tilt in 97 of 108 Zhejiang localities, with a visible-dominated spending tail.</w:t>
      </w:r>
    </w:p>
    <w:p>
      <w:pPr>
        <w:pStyle w:val="FirstParagraph"/>
      </w:pPr>
      <w:r>
        <w:t xml:space="preserve">One pre-registered test, applying the lexicon to Chinese Wikipedia, fails (r = −0.15 against a [0.3, 0.7] criterion). We report it plainly as a domain mismatch that bounds the instrument to governance rhetoric.</w:t>
      </w:r>
    </w:p>
    <w:bookmarkEnd w:id="45"/>
    <w:bookmarkStart w:id="4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The association is therefore compositional rather than expansionary, and under the turnover shock both rise together. We read these as evidence that the measure captures strategic compositional attention. We do not offer a headline welfare figure, because the model-based calibration (§4.4) is too assumption-dependent to support one.</w:t>
      </w:r>
    </w:p>
    <w:bookmarkEnd w:id="46"/>
    <w:bookmarkStart w:id="47" w:name="what-we-cannot-establish"/>
    <w:p>
      <w:pPr>
        <w:pStyle w:val="Heading2"/>
      </w:pPr>
      <w:r>
        <w:t xml:space="preserve">5.3 What we cannot establish</w:t>
      </w:r>
    </w:p>
    <w:p>
      <w:pPr>
        <w:pStyle w:val="Compact"/>
        <w:numPr>
          <w:ilvl w:val="0"/>
          <w:numId w:val="1006"/>
        </w:numPr>
      </w:pPr>
      <w:r>
        <w:t xml:space="preserve">Causal identification of drivers is not achieved. 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6"/>
        </w:numPr>
      </w:pPr>
      <w:r>
        <w:t xml:space="preserve">External (non-governance) validity is bounded. The Wikipedia null scopes the measure to governance rhetoric, and an appropriate policy-rhetoric third-party validation (e.g., Xinhua local-policy news, CNKI key-newspaper coverage) remains future work.</w:t>
      </w:r>
    </w:p>
    <w:p>
      <w:pPr>
        <w:pStyle w:val="Compact"/>
        <w:numPr>
          <w:ilvl w:val="0"/>
          <w:numId w:val="1006"/>
        </w:numPr>
      </w:pPr>
      <w:r>
        <w:t xml:space="preserve">Intercoder agreement is substantial but not perfect. Two human coders reach Cohen κ = 0.70 on the 120-sentence gold set. Residual disagreement concentrates on the visible-versus-mixed boundary, itself a manifestation of the polysemy the paper documents, so passage-level precision/recall carry a few points of coder-judgment uncertainty.</w:t>
      </w:r>
    </w:p>
    <w:p>
      <w:pPr>
        <w:pStyle w:val="Compact"/>
        <w:numPr>
          <w:ilvl w:val="0"/>
          <w:numId w:val="1006"/>
        </w:numPr>
      </w:pPr>
      <w:r>
        <w:t xml:space="preserve">The procurement corroboration is provincial. It covers Zhejiang, and although frequency and amount both corroborate the tilt,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6"/>
        </w:numPr>
      </w:pPr>
      <w:r>
        <w:t xml:space="preserve">No welfare claim. The structural welfare figure is assumption-dependent and demoted, and we attach no policy magnitude to it.</w:t>
      </w:r>
    </w:p>
    <w:bookmarkEnd w:id="47"/>
    <w:bookmarkStart w:id="48" w:name="portability-to-non-chinese-settings"/>
    <w:p>
      <w:pPr>
        <w:pStyle w:val="Heading2"/>
      </w:pPr>
      <w:r>
        <w:t xml:space="preserve">5.4 Portability to non-Chinese settings</w:t>
      </w:r>
    </w:p>
    <w:p>
      <w:pPr>
        <w:pStyle w:val="FirstParagraph"/>
      </w:pPr>
      <w:r>
        <w:t xml:space="preserve">The construction-and-validation protocol has a fixed shape: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In principle this protocol ports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What transfers is the validation discipline, not the keyword list.</w:t>
      </w:r>
    </w:p>
    <w:bookmarkEnd w:id="48"/>
    <w:bookmarkStart w:id="49" w:name="Xf7d578f4fa1af2f27232d1ac0aef118ec680533"/>
    <w:p>
      <w:pPr>
        <w:pStyle w:val="Heading2"/>
      </w:pPr>
      <w:r>
        <w:t xml:space="preserve">5.5 Policy implications (conditional on the cadre-attention model)</w:t>
      </w:r>
    </w:p>
    <w:p>
      <w:pPr>
        <w:pStyle w:val="FirstParagraph"/>
      </w:pPr>
      <w:r>
        <w:t xml:space="preserve">Suppose the cadre-attention model is substantively correct. It is theoretically motivated and now behaviorally supported (§3.2.7), though not cleanly identified causally. Three levers then follow. (1) Increase the observability of functional categories, reducing the legibility asymmetry, through real-time pipe-pressure telemetry, open waterworks dashboards, and mandatory structural-safety reporting. (2) Introduce functional output targets in cadre evaluation, raising the social-motivation weight. (3) Build citizen-audit portals as supplementary, informational pressure, given the §4.5 individual-level null. Because these follow from the model rather than from identified causal estimates, we offer them as model-implied possibilities rather than forecasts, and attach no net-present-value figure.</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We report that validation honestly, including the naive dictionary’s failure (precision 0.10), the concrete lexicon’s polysemy ceiling (~0.60), and an LLM ensemble that clears it (0.84). The behavioral test settles the question: under an exogenous retirement-turnover shock the valid measure co-moves with real cosmetic investment while the naive one does not. Descriptively, VAI tracks the accounting Cosmetic Investment Ratio and is corroborated by an independent procurement corpus, where visible projects run ≈2:1 over functional and own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carry beyond this one-country case and invite testing elsewhere. First, polysemy imposes a precision ceiling on dictionary measures of everyday-word constructs that curation cannot break, and that ceiling should be reported rather than hidden. Second, for measures of strategic attention the validity test that decides the matter is behavioral co-movement under an exogenous shock, not internal reliability or passage precision alone. We invite extension via a policy-rhetoric third-party corpus, further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51"/>
    <w:bookmarkStart w:id="5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(§3.2.0). All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52"/>
    <w:bookmarkStart w:id="6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5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7"/>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7"/>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7"/>
        </w:numPr>
      </w:pPr>
      <w:r>
        <w:rPr>
          <w:b/>
          <w:bCs/>
        </w:rPr>
        <w:t xml:space="preserve">H3 (P3)</w:t>
      </w:r>
      <w:r>
        <w:t xml:space="preserve">: Aggregate welfare loss from visibility bias lies in [¥1B, ¥15B]/year under log utility; central estimate ~¥4.4B.</w:t>
      </w:r>
    </w:p>
    <w:p>
      <w:pPr>
        <w:pStyle w:val="Compact"/>
        <w:numPr>
          <w:ilvl w:val="0"/>
          <w:numId w:val="1007"/>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7"/>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53"/>
    <w:bookmarkStart w:id="61" w:name="d.2-deviation-log"/>
    <w:p>
      <w:pPr>
        <w:pStyle w:val="Heading2"/>
      </w:pPr>
      <w:r>
        <w:t xml:space="preserve">D.2 Deviation log</w:t>
      </w:r>
    </w:p>
    <w:bookmarkStart w:id="5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Because the doubly-robust estimator requires such a group, the pre-registered specification is infeasible.</w:t>
      </w:r>
    </w:p>
    <w:p>
      <w:pPr>
        <w:pStyle w:val="BodyText"/>
      </w:pPr>
      <w:r>
        <w:rPr>
          <w:b/>
          <w:bCs/>
        </w:rPr>
        <w:t xml:space="preserve">Result under executed substitute</w:t>
      </w:r>
      <w:r>
        <w:t xml:space="preserve">: β(k=0) = −0.065, SE = 0.025, p = 0.011.</w:t>
      </w:r>
    </w:p>
    <w:bookmarkEnd w:id="54"/>
    <w:bookmarkStart w:id="5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The point estimate runs in the same direction as TWFE, but the magnitude is smaller by a factor of ~3 and significance is lost.</w:t>
      </w:r>
    </w:p>
    <w:p>
      <w:pPr>
        <w:pStyle w:val="BodyText"/>
      </w:pPr>
      <w:r>
        <w:rPr>
          <w:b/>
          <w:bCs/>
        </w:rPr>
        <w:t xml:space="preserve">Interpretation</w:t>
      </w:r>
      <w:r>
        <w:t xml:space="preserve">: Narrow-window heterogeneity-robust result is statistically indistinguishable from zero.</w:t>
      </w:r>
    </w:p>
    <w:bookmarkEnd w:id="55"/>
    <w:bookmarkStart w:id="5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not a causal inspection effect. We report H2 as</w:t>
      </w:r>
      <w:r>
        <w:t xml:space="preserve"> </w:t>
      </w:r>
      <w:r>
        <w:rPr>
          <w:b/>
          <w:bCs/>
        </w:rPr>
        <w:t xml:space="preserve">definitively null</w:t>
      </w:r>
      <w:r>
        <w:t xml:space="preserve"> </w:t>
      </w:r>
      <w:r>
        <w:t xml:space="preserve">in §4.5. The pre-registered</w:t>
      </w:r>
      <w:r>
        <w:t xml:space="preserve"> </w:t>
      </w:r>
      <w:r>
        <w:t xml:space="preserve">“consistent with prediction”</w:t>
      </w:r>
      <w:r>
        <w:t xml:space="preserve"> </w:t>
      </w:r>
      <w:r>
        <w:t xml:space="preserve">framing from earlier drafts is withdrawn. We log this deviation honestly; it represents a substantive failed identification, not a methodological quibble.</w:t>
      </w:r>
    </w:p>
    <w:bookmarkEnd w:id="56"/>
    <w:bookmarkStart w:id="5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giving r(VAI_orig, VAI_ext) = 0.93.</w:t>
      </w:r>
      <w:r>
        <w:t xml:space="preserve"> </w:t>
      </w:r>
      <w:r>
        <w:t xml:space="preserve">- E-B: Within-document retrospective-vs-prospective section split, with Δ(review − plan) = +0.025, paired t = 8.4, p &lt; 10⁻¹⁶.</w:t>
      </w:r>
      <w:r>
        <w:t xml:space="preserve"> </w:t>
      </w:r>
      <w:r>
        <w:t xml:space="preserve">- E-C: Dictionary-bootstrap half-halves, mean r = 0.18 (reported as limitation).</w:t>
      </w:r>
      <w:r>
        <w:t xml:space="preserve"> </w:t>
      </w:r>
      <w:r>
        <w:t xml:space="preserve">- E-A CIR replication with VAI_ext, a further check, gave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57"/>
    <w:bookmarkStart w:id="5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a publicly-accessible third-party source, fetched via the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that was not available in the α-full session. Wikipedia was the only accessible substantive third-party corpus at scale.</w:t>
      </w:r>
    </w:p>
    <w:p>
      <w:pPr>
        <w:pStyle w:val="BodyText"/>
      </w:pPr>
      <w:r>
        <w:rPr>
          <w:b/>
          <w:bCs/>
        </w:rPr>
        <w:t xml:space="preserve">Interpretation</w:t>
      </w:r>
      <w:r>
        <w:t xml:space="preserve">: We read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(Xinhua local-policy news or CNKI key-newspaper government reporting),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58"/>
    <w:bookmarkStart w:id="5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§4.5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9"/>
    <w:bookmarkStart w:id="6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60"/>
    <w:bookmarkEnd w:id="61"/>
    <w:bookmarkStart w:id="6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62"/>
    <w:bookmarkStart w:id="6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They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§4.5’s re-framing of the CFPS null from confirmatory to exploratory, which was a post-hoc interpretation-level revision disclosed explicitly in D-F-1 and in §4.5’s opening paragraph).</w:t>
      </w:r>
    </w:p>
    <w:bookmarkEnd w:id="63"/>
    <w:bookmarkEnd w:id="64"/>
    <w:bookmarkStart w:id="82"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8"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The full derivation follows.</w:t>
      </w:r>
    </w:p>
    <w:bookmarkStart w:id="65"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65"/>
    <w:bookmarkStart w:id="66"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66"/>
    <w:bookmarkStart w:id="67"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allows calibration from observed</w:t>
      </w:r>
      <w:r>
        <w:t xml:space="preserve"> </w:t>
      </w:r>
      <m:oMath>
        <m:sSubSup>
          <m:e>
            <m:r>
              <m:t>a</m:t>
            </m:r>
          </m:e>
          <m:sub>
            <m:r>
              <m:t>i</m:t>
            </m:r>
          </m:sub>
          <m:sup>
            <m:r>
              <m:rPr>
                <m:sty m:val="p"/>
              </m:rPr>
              <m:t>*</m:t>
            </m:r>
          </m:sup>
        </m:sSubSup>
      </m:oMath>
      <w:r>
        <w:t xml:space="preserve"> </w:t>
      </w:r>
      <w:r>
        <w:t xml:space="preserve">together with a standard social-optimum benchmark</w:t>
      </w:r>
      <w:r>
        <w:t xml:space="preserve"> </w:t>
      </w:r>
      <m:oMath>
        <m:sSubSup>
          <m:e>
            <m:r>
              <m:t>a</m:t>
            </m:r>
          </m:e>
          <m:sub>
            <m:r>
              <m:t>i</m:t>
            </m:r>
          </m:sub>
          <m:sup>
            <m:r>
              <m:t>S</m:t>
            </m:r>
            <m:r>
              <m:t>O</m:t>
            </m:r>
          </m:sup>
        </m:sSubSup>
      </m:oMath>
      <w:r>
        <w:t xml:space="preserve">.</w:t>
      </w:r>
    </w:p>
    <w:bookmarkEnd w:id="67"/>
    <w:bookmarkEnd w:id="68"/>
    <w:bookmarkStart w:id="70"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(§4.1), a modest external check (E-D, §3.2.4). It is not part of the main evidentiary spine, which rests on the behavioral criterion-validity co-movement of §3.2.7.</w:t>
      </w:r>
    </w:p>
    <w:bookmarkStart w:id="69"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9"/>
    <w:bookmarkEnd w:id="70"/>
    <w:bookmarkStart w:id="79" w:name="X452f14eac45b57ccc67fef79c8f089abc3453a3"/>
    <w:p>
      <w:pPr>
        <w:pStyle w:val="Heading2"/>
      </w:pPr>
      <w:r>
        <w:t xml:space="preserve">Appendix C: Further Robustness and Sensitivity</w:t>
      </w:r>
    </w:p>
    <w:bookmarkStart w:id="71"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71"/>
    <w:bookmarkStart w:id="72"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72"/>
    <w:bookmarkStart w:id="73" w:name="c.3-p2-placebo-battery-main-text-4.5"/>
    <w:p>
      <w:pPr>
        <w:pStyle w:val="Heading3"/>
      </w:pPr>
      <w:r>
        <w:t xml:space="preserve">C.3 P2 placebo battery (main text §4.5)</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73"/>
    <w:bookmarkStart w:id="74"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8"/>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8"/>
        </w:numPr>
      </w:pPr>
      <w:r>
        <w:rPr>
          <w:b/>
          <w:bCs/>
        </w:rPr>
        <w:t xml:space="preserve">Media reporting intensity</w:t>
      </w:r>
      <w:r>
        <w:t xml:space="preserve">: Xinhua local news mentions per month. Ratio 2.8:1 in favor of visible.</w:t>
      </w:r>
    </w:p>
    <w:p>
      <w:pPr>
        <w:pStyle w:val="Compact"/>
        <w:numPr>
          <w:ilvl w:val="0"/>
          <w:numId w:val="1008"/>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74"/>
    <w:bookmarkStart w:id="75"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75"/>
    <w:bookmarkStart w:id="76"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76"/>
    <w:bookmarkStart w:id="77"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See §4.4.)</w:t>
      </w:r>
    </w:p>
    <w:bookmarkEnd w:id="77"/>
    <w:bookmarkStart w:id="78" w:name="Xfab6bd1de0833801290ea5b4b11313007dd710a"/>
    <w:p>
      <w:pPr>
        <w:pStyle w:val="Heading3"/>
      </w:pPr>
      <w:r>
        <w:t xml:space="preserve">C.8 Passage-validation confusion matrix and error taxonomy (main text §3.2.0)</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This single-cause failure motivated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§3.2.0, which is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8"/>
    <w:bookmarkEnd w:id="79"/>
    <w:bookmarkStart w:id="80"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80"/>
    <w:bookmarkStart w:id="81"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81"/>
    <w:bookmarkEnd w:id="82"/>
    <w:bookmarkStart w:id="83"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2026-06-20T00:08:31Z</dcterms:created>
  <dcterms:modified xsi:type="dcterms:W3CDTF">2026-06-20T00:08:31Z</dcterms:modified>
</cp:coreProperties>
</file>

<file path=docProps/custom.xml><?xml version="1.0" encoding="utf-8"?>
<Properties xmlns="http://schemas.openxmlformats.org/officeDocument/2006/custom-properties" xmlns:vt="http://schemas.openxmlformats.org/officeDocument/2006/docPropsVTypes"/>
</file>