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 Restricting the lexicon to concrete visible-construction terms (roads, greening, parks, bridges vs. drainage, pipes, sewerage), mirroring the cosmetic-versus-functional split of the MOHURD construction-investment categories,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w:t>
      </w:r>
      <w:r>
        <w:rPr>
          <w:i/>
          <w:iCs/>
        </w:rPr>
        <w:t xml:space="preserve">dàolù</w:t>
      </w:r>
      <w:r>
        <w:t xml:space="preserve"> </w:t>
      </w:r>
      <w:r>
        <w:t xml:space="preserve">“road”</w:t>
      </w:r>
      <w:r>
        <w:t xml:space="preserve"> </w:t>
      </w:r>
      <w:r>
        <w:t xml:space="preserve">in </w:t>
      </w:r>
      <w:r>
        <w:rPr>
          <w:rFonts w:hint="eastAsia"/>
        </w:rPr>
        <w:t xml:space="preserve">新型工业化道路</w:t>
      </w:r>
      <w:r>
        <w:t xml:space="preserve"> </w:t>
      </w:r>
      <w:r>
        <w:t xml:space="preserve">“the path of new-type industrialization”</w:t>
      </w:r>
      <w:r>
        <w:t xml:space="preserve">; </w:t>
      </w:r>
      <w:r>
        <w:rPr>
          <w:rFonts w:hint="eastAsia"/>
        </w:rPr>
        <w:t xml:space="preserve">轨道交通</w:t>
      </w:r>
      <w:r>
        <w:t xml:space="preserve"> </w:t>
      </w:r>
      <w:r>
        <w:rPr>
          <w:i/>
          <w:iCs/>
        </w:rPr>
        <w:t xml:space="preserve">guǐdào jiāotōng</w:t>
      </w:r>
      <w:r>
        <w:t xml:space="preserve"> </w:t>
      </w:r>
      <w:r>
        <w:t xml:space="preserve">“rail transit”</w:t>
      </w:r>
      <w:r>
        <w:t xml:space="preserve"> </w:t>
      </w:r>
      <w:r>
        <w:t xml:space="preserve">in </w:t>
      </w:r>
      <w:r>
        <w:rPr>
          <w:rFonts w:hint="eastAsia"/>
        </w:rPr>
        <w:t xml:space="preserve">轨道交通产业</w:t>
      </w:r>
      <w:r>
        <w:t xml:space="preserve"> </w:t>
      </w:r>
      <w:r>
        <w:t xml:space="preserve">“the rail-transit industry”</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Local officials have reason to favor infrastructure their evaluators can see. In China’s municipal governments, where careers turn on how superior authorities assess performance, that incentive tilts toward</w:t>
      </w:r>
      <w:r>
        <w:t xml:space="preserve"> </w:t>
      </w:r>
      <w:r>
        <w:rPr>
          <w:i/>
          <w:iCs/>
        </w:rPr>
        <w:t xml:space="preserve">visible</w:t>
      </w:r>
      <w:r>
        <w:t xml:space="preserve"> </w:t>
      </w:r>
      <w:r>
        <w:t xml:space="preserve">construction — streetscapes, greening, squares, landmarks, metro — over functionally important but</w:t>
      </w:r>
      <w:r>
        <w:t xml:space="preserve"> </w:t>
      </w:r>
      <w:r>
        <w:rPr>
          <w:i/>
          <w:iCs/>
        </w:rPr>
        <w:t xml:space="preserve">concealed</w:t>
      </w:r>
      <w:r>
        <w:t xml:space="preserve"> </w:t>
      </w:r>
      <w:r>
        <w:t xml:space="preserve">works such as drainage, pipe networks, and sewerage. We call this tilt</w:t>
      </w:r>
      <w:r>
        <w:t xml:space="preserve"> </w:t>
      </w:r>
      <w:r>
        <w:rPr>
          <w:b/>
          <w:bCs/>
        </w:rPr>
        <w:t xml:space="preserve">visibility bias</w:t>
      </w:r>
      <w:r>
        <w:t xml:space="preserve">, and we ask, for one country’s local governance, whether it can be measured from official text and whether it is behaviorally real; our window is the annual municipal government work report (GWR).</w:t>
      </w:r>
    </w:p>
    <w:p>
      <w:pPr>
        <w:pStyle w:val="BodyText"/>
      </w:pPr>
      <w:r>
        <w:t xml:space="preserve">Measuring such a bias from text is the hard part. 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What counts as</w:t>
      </w:r>
      <w:r>
        <w:t xml:space="preserve"> </w:t>
      </w:r>
      <w:r>
        <w:rPr>
          <w:b/>
          <w:bCs/>
        </w:rPr>
        <w:t xml:space="preserve">visible</w:t>
      </w:r>
      <w:r>
        <w:t xml:space="preserve"> </w:t>
      </w:r>
      <w:r>
        <w:t xml:space="preserve">is what the measurement turns on: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(mirroring the cosmetic-versus-functional split of the MOHURD construction-investment categories)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w:t>
      </w:r>
      <w:r>
        <w:rPr>
          <w:i/>
          <w:iCs/>
        </w:rPr>
        <w:t xml:space="preserve">dàolù</w:t>
      </w:r>
      <w:r>
        <w:t xml:space="preserve"> </w:t>
      </w:r>
      <w:r>
        <w:t xml:space="preserve">in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w:t>
      </w:r>
      <w:r>
        <w:rPr>
          <w:i/>
          <w:iCs/>
        </w:rPr>
        <w:t xml:space="preserve">guǐdào jiāotōng</w:t>
      </w:r>
      <w:r>
        <w:t xml:space="preserve"> </w:t>
      </w:r>
      <w:r>
        <w:t xml:space="preserve">in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pattern is likely not unique to this corpus: for compositional constructs carried by polysemous everyday words, dictionary precision may be bounded by the language rather than the analyst’s diligence — though we establish this only for Chinese GWR text and offer it as a hypothesis to test elsewhere.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60–61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mirroring the cosmetic-versus-functional split of the MOHURD Urban Construction Statistical Yearbook investment categories (§3.7).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(MOHURD-aligned)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rPr>
          <w:i/>
          <w:iCs/>
        </w:rPr>
        <w:t xml:space="preserve">dàolù</w:t>
      </w:r>
      <w:r>
        <w:t xml:space="preserve"> </w:t>
      </w:r>
      <w:r>
        <w:t xml:space="preserve">(</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rPr>
          <w:i/>
          <w:iCs/>
        </w:rPr>
        <w:t xml:space="preserve">guǐdào jiāotōng</w:t>
      </w:r>
      <w:r>
        <w:t xml:space="preserve"> </w:t>
      </w:r>
      <w:r>
        <w:t xml:space="preserve">(</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rPr>
          <w:i/>
          <w:iCs/>
        </w:rPr>
        <w:t xml:space="preserve">yuánlín</w:t>
      </w:r>
      <w:r>
        <w:t xml:space="preserve"> </w:t>
      </w:r>
      <w:r>
        <w:t xml:space="preserve">(</w:t>
      </w:r>
      <w:r>
        <w:t xml:space="preserve">“garden/landscaping”</w:t>
      </w:r>
      <w:r>
        <w:t xml:space="preserve">) is also the award </w:t>
      </w:r>
      <w:r>
        <w:rPr>
          <w:rFonts w:hint="eastAsia"/>
        </w:rPr>
        <w:t xml:space="preserve">国家园林城市</w:t>
      </w:r>
      <w:r>
        <w:t xml:space="preserve"> </w:t>
      </w:r>
      <w:r>
        <w:rPr>
          <w:i/>
          <w:iCs/>
        </w:rPr>
        <w:t xml:space="preserve">guójiā yuánlín chéngshì</w:t>
      </w:r>
      <w:r>
        <w:t xml:space="preserve">.</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20, 21].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(predominantly 2019–2026)</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Within this single-country case (Chinese municipal GWRs), three lessons emerge that may transfer — offered to be tested elsewhere, not assumed.</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20, 21]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Intercoder agreement is substantial but not perfect.</w:t>
      </w:r>
      <w:r>
        <w:t xml:space="preserve"> </w:t>
      </w:r>
      <w:r>
        <w:t xml:space="preserve">Two independent human coders reach Cohen κ = 0.70 on the 120-sentence gold set; residual disagreement concentrates on the visible-versus-mixed boundary — itself a manifestation of the polysemy the paper documents — so passage-level precision/recall carry a few points of coder-judgment uncertainty.</w:t>
      </w:r>
    </w:p>
    <w:p>
      <w:pPr>
        <w:pStyle w:val="Compact"/>
        <w:numPr>
          <w:ilvl w:val="0"/>
          <w:numId w:val="1007"/>
        </w:numPr>
      </w:pPr>
      <w:r>
        <w:rPr>
          <w:b/>
          <w:bCs/>
        </w:rPr>
        <w:t xml:space="preserve">The procurement check is provincial.</w:t>
      </w:r>
      <w:r>
        <w:t xml:space="preserve"> </w:t>
      </w:r>
      <w:r>
        <w:t xml:space="preserve">It covers Zhejiang only; project frequency</w:t>
      </w:r>
      <w:r>
        <w:t xml:space="preserve"> </w:t>
      </w:r>
      <w:r>
        <w:rPr>
          <w:i/>
          <w:iCs/>
        </w:rPr>
        <w:t xml:space="preserve">and</w:t>
      </w:r>
      <w:r>
        <w:t xml:space="preserve"> </w:t>
      </w:r>
      <w:r>
        <w:t xml:space="preserve">investment amount both corroborate the tilt, but a</w:t>
      </w:r>
      <w:r>
        <w:t xml:space="preserve"> </w:t>
      </w:r>
      <w:r>
        <w:t xml:space="preserve">“project”</w:t>
      </w:r>
      <w:r>
        <w:t xml:space="preserve"> </w:t>
      </w:r>
      <w:r>
        <w:t xml:space="preserve">is proxied by the deduplicated award record, so the count comparison remains sensitive to how works are packaged. National generalization is untested.</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key-newspaper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could plausibly transfer to other settings where bureaucratic agents produce structured, consequential annual documents (e.g.,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points may outlast this one-country case and invite testing elsewhere.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key-newspaper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§3.5 of the main manuscript (the failed Wikipedia external validation, E-F),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2026-06-19T14:33:09Z</dcterms:created>
  <dcterms:modified xsi:type="dcterms:W3CDTF">2026-06-19T14:33:09Z</dcterms:modified>
</cp:coreProperties>
</file>

<file path=docProps/custom.xml><?xml version="1.0" encoding="utf-8"?>
<Properties xmlns="http://schemas.openxmlformats.org/officeDocument/2006/custom-properties" xmlns:vt="http://schemas.openxmlformats.org/officeDocument/2006/docPropsVTypes"/>
</file>