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06d03d237d20d1b94675acd908af3d18a8c420"/>
    <w:p>
      <w:pPr>
        <w:pStyle w:val="Heading1"/>
      </w:pPr>
      <w:r>
        <w:t xml:space="preserve">Cover Letter — Journal of Computational Social Science (Revised Submission)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2026-06-19</w:t>
      </w:r>
      <w:r>
        <w:t xml:space="preserve"> </w:t>
      </w:r>
      <w:r>
        <w:rPr>
          <w:b/>
          <w:bCs/>
        </w:rPr>
        <w:t xml:space="preserve">Manuscript</w:t>
      </w:r>
      <w:r>
        <w:t xml:space="preserve">: JCSO-D-26-00240 (Major Revisions)</w:t>
      </w:r>
      <w:r>
        <w:t xml:space="preserve"> </w:t>
      </w:r>
      <w:r>
        <w:rPr>
          <w:b/>
          <w:bCs/>
        </w:rPr>
        <w:t xml:space="preserve">To</w:t>
      </w:r>
      <w:r>
        <w:t xml:space="preserve">: Editor-in-Chief,</w:t>
      </w:r>
      <w:r>
        <w:t xml:space="preserve"> </w:t>
      </w:r>
      <w:r>
        <w:rPr>
          <w:i/>
          <w:iCs/>
        </w:rPr>
        <w:t xml:space="preserve">Journal of Computational Social Science</w:t>
      </w:r>
      <w:r>
        <w:t xml:space="preserve"> </w:t>
      </w:r>
      <w:r>
        <w:t xml:space="preserve">(Springer Nature)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Professor Kamihigashi,</w:t>
      </w:r>
    </w:p>
    <w:p>
      <w:pPr>
        <w:pStyle w:val="BodyText"/>
      </w:pPr>
      <w:r>
        <w:t xml:space="preserve">Please find enclosed our revised manuscript,</w:t>
      </w:r>
      <w:r>
        <w:t xml:space="preserve"> </w:t>
      </w:r>
      <w:r>
        <w:rPr>
          <w:b/>
          <w:bCs/>
        </w:rPr>
        <w:t xml:space="preserve">“Visibility Bias in Chinese Municipal Government Work Reports: Measurement and Behavioral Validation”</w:t>
      </w:r>
      <w:r>
        <w:t xml:space="preserve"> </w:t>
      </w:r>
      <w:r>
        <w:t xml:space="preserve">(formerly</w:t>
      </w:r>
      <w:r>
        <w:t xml:space="preserve"> </w:t>
      </w:r>
      <w:r>
        <w:rPr>
          <w:i/>
          <w:iCs/>
        </w:rPr>
        <w:t xml:space="preserve">Measuring Visibility Bias in Bureaucratic Text</w:t>
      </w:r>
      <w:r>
        <w:t xml:space="preserve">), submitted for continued consideration as a Research Article. We are grateful to Reviewer #1 for a review that materially reshaped the paper; a point-by-point response accompanies this letter.</w:t>
      </w:r>
    </w:p>
    <w:p>
      <w:pPr>
        <w:pStyle w:val="BodyText"/>
      </w:pPr>
      <w:r>
        <w:rPr>
          <w:b/>
          <w:bCs/>
        </w:rPr>
        <w:t xml:space="preserve">What the paper now is.</w:t>
      </w:r>
      <w:r>
        <w:t xml:space="preserve"> </w:t>
      </w:r>
      <w:r>
        <w:t xml:space="preserve">The review correctly judged that our original draft measured visible-infrastructure</w:t>
      </w:r>
      <w:r>
        <w:t xml:space="preserve"> </w:t>
      </w:r>
      <w:r>
        <w:rPr>
          <w:i/>
          <w:iCs/>
        </w:rPr>
        <w:t xml:space="preserve">rhetoric</w:t>
      </w:r>
      <w:r>
        <w:t xml:space="preserve"> </w:t>
      </w:r>
      <w:r>
        <w:t xml:space="preserve">more convincingly than strategic</w:t>
      </w:r>
      <w:r>
        <w:t xml:space="preserve"> </w:t>
      </w:r>
      <w:r>
        <w:rPr>
          <w:i/>
          <w:iCs/>
        </w:rPr>
        <w:t xml:space="preserve">visibility bias</w:t>
      </w:r>
      <w:r>
        <w:t xml:space="preserve">, and overclaimed. We have reconceived the work as a</w:t>
      </w:r>
      <w:r>
        <w:t xml:space="preserve"> </w:t>
      </w:r>
      <w:r>
        <w:rPr>
          <w:b/>
          <w:bCs/>
        </w:rPr>
        <w:t xml:space="preserve">study in validating dictionary text-as-data measures</w:t>
      </w:r>
      <w:r>
        <w:t xml:space="preserve">, using visibility bias in Chinese municipal government work reports (6,294 reports, 282 prefectures, 2002–2024) as the case. The contribution is methodological and, we believe, of direct interest to JCSS’s readership: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rigorous passage-level validation that reports a precision ceiling.</w:t>
      </w:r>
      <w:r>
        <w:t xml:space="preserve"> </w:t>
      </w:r>
      <w:r>
        <w:t xml:space="preserve">Against human double-coding, a naive visibility dictionary fails (visible-class precision 0.10, from polysemous appearance words); a concrete, salience-based lexicon improves greatly (0.50→0.60) but meets a</w:t>
      </w:r>
      <w:r>
        <w:t xml:space="preserve"> </w:t>
      </w:r>
      <w:r>
        <w:rPr>
          <w:b/>
          <w:bCs/>
        </w:rPr>
        <w:t xml:space="preserve">polysemy ceiling (~0.60–0.64)</w:t>
      </w:r>
      <w:r>
        <w:t xml:space="preserve"> </w:t>
      </w:r>
      <w:r>
        <w:t xml:space="preserve">that curation cannot break. Human intercoder agreement is Cohen κ = 0.70.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calibrated high-precision alternative.</w:t>
      </w:r>
      <w:r>
        <w:t xml:space="preserve"> </w:t>
      </w:r>
      <w:r>
        <w:t xml:space="preserve">A three-model</w:t>
      </w:r>
      <w:r>
        <w:t xml:space="preserve"> </w:t>
      </w:r>
      <w:r>
        <w:rPr>
          <w:b/>
          <w:bCs/>
        </w:rPr>
        <w:t xml:space="preserve">LLM ensemble</w:t>
      </w:r>
      <w:r>
        <w:t xml:space="preserve"> </w:t>
      </w:r>
      <w:r>
        <w:t xml:space="preserve">attains 0.84 accuracy (inter-model Fleiss κ = 0.835), benchmarked against the same human gold standard — a concrete precision-vs-transparency trade-off.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Behavioral (criterion) validity as the decisive test.</w:t>
      </w:r>
      <w:r>
        <w:t xml:space="preserve"> </w:t>
      </w:r>
      <w:r>
        <w:t xml:space="preserve">Under quasi-exogenous, retirement-driven secretary turnover, the</w:t>
      </w:r>
      <w:r>
        <w:t xml:space="preserve"> </w:t>
      </w:r>
      <w:r>
        <w:rPr>
          <w:i/>
          <w:iCs/>
        </w:rPr>
        <w:t xml:space="preserve">valid</w:t>
      </w:r>
      <w:r>
        <w:t xml:space="preserve"> </w:t>
      </w:r>
      <w:r>
        <w:t xml:space="preserve">concrete text measure co-moves with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accounting-based cosmetic investment (both up the year after turnover, clean pre-trends), while the</w:t>
      </w:r>
      <w:r>
        <w:t xml:space="preserve"> </w:t>
      </w:r>
      <w:r>
        <w:rPr>
          <w:i/>
          <w:iCs/>
        </w:rPr>
        <w:t xml:space="preserve">naive</w:t>
      </w:r>
      <w:r>
        <w:t xml:space="preserve"> </w:t>
      </w:r>
      <w:r>
        <w:t xml:space="preserve">measure does not respond (p ≈ 0.5). We argue, and show, that behavioral co-movement — not passage precision or internal reliability — is the decisive validity test for measures of strategic attention.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 scope and reproducibility.</w:t>
      </w:r>
      <w:r>
        <w:t xml:space="preserve"> </w:t>
      </w:r>
      <w:r>
        <w:t xml:space="preserve">Failed and assumption-dependent analyses (an inspection event study, a CFPS micro-foundation, a structural welfare calibration) are demoted to appendices and reported transparently; a large-scale procurement check (Zhejiang public bidding, ~2.96M records) corroborates the compositional tilt on both project frequency (≈2:1) and investment amount.</w:t>
      </w:r>
    </w:p>
    <w:p>
      <w:pPr>
        <w:pStyle w:val="FirstParagraph"/>
      </w:pPr>
      <w:r>
        <w:rPr>
          <w:b/>
          <w:bCs/>
        </w:rPr>
        <w:t xml:space="preserve">Author team.</w:t>
      </w:r>
      <w:r>
        <w:t xml:space="preserve"> </w:t>
      </w:r>
      <w:r>
        <w:t xml:space="preserve">Since the original submission we have added two coauthors whose work answers needs the review surfaced:</w:t>
      </w:r>
      <w:r>
        <w:t xml:space="preserve"> </w:t>
      </w:r>
      <w:r>
        <w:rPr>
          <w:b/>
          <w:bCs/>
        </w:rPr>
        <w:t xml:space="preserve">Liu Can</w:t>
      </w:r>
      <w:r>
        <w:t xml:space="preserve"> </w:t>
      </w:r>
      <w:r>
        <w:t xml:space="preserve">(co-first; urban &amp; rural planning) built and verified the procurement-classification scheme, and</w:t>
      </w:r>
      <w:r>
        <w:t xml:space="preserve"> </w:t>
      </w:r>
      <w:r>
        <w:rPr>
          <w:b/>
          <w:bCs/>
        </w:rPr>
        <w:t xml:space="preserve">Zhihui Li</w:t>
      </w:r>
      <w:r>
        <w:t xml:space="preserve"> </w:t>
      </w:r>
      <w:r>
        <w:t xml:space="preserve">provided the independent second coding behind the intercoder agreement. Contributions follow ICMJE and are listed in the Statements.</w:t>
      </w:r>
    </w:p>
    <w:p>
      <w:pPr>
        <w:pStyle w:val="BodyText"/>
      </w:pPr>
      <w:r>
        <w:rPr>
          <w:b/>
          <w:bCs/>
        </w:rPr>
        <w:t xml:space="preserve">Originality and concurrent submission.</w:t>
      </w:r>
      <w:r>
        <w:t xml:space="preserve"> </w:t>
      </w:r>
      <w:r>
        <w:t xml:space="preserve">The work is original and not under consideration elsewhere. A pre-registered predecessor (OSF ZMJY5) and an earlier urban-economics-framed draft (desk-rejected at</w:t>
      </w:r>
      <w:r>
        <w:t xml:space="preserve"> </w:t>
      </w:r>
      <w:r>
        <w:rPr>
          <w:i/>
          <w:iCs/>
        </w:rPr>
        <w:t xml:space="preserve">Habitat International</w:t>
      </w:r>
      <w:r>
        <w:t xml:space="preserve">, 2026-04-13, on scope grounds) are disclosed in Appendix D; the present paper is a substantial methodological repositioning, not a resubmission of that draft.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Pre-registration: OSF DOI</w:t>
      </w:r>
      <w:r>
        <w:t xml:space="preserve"> </w:t>
      </w:r>
      <w:hyperlink r:id="rId9">
        <w:r>
          <w:rPr>
            <w:rStyle w:val="Hyperlink"/>
          </w:rPr>
          <w:t xml:space="preserve">10.17605/OSF.IO/ZMJY5</w:t>
        </w:r>
      </w:hyperlink>
      <w:r>
        <w:t xml:space="preserve">. Replication archive (instrument, gold-standard codings, all analysis and re-pull code, procurement classification, deviation log): Zenodo DOI</w:t>
      </w:r>
      <w:r>
        <w:t xml:space="preserve"> </w:t>
      </w:r>
      <w:hyperlink r:id="rId10">
        <w:r>
          <w:rPr>
            <w:rStyle w:val="Hyperlink"/>
          </w:rPr>
          <w:t xml:space="preserve">10.5281/zenodo.19569978</w:t>
        </w:r>
      </w:hyperlink>
      <w:r>
        <w:t xml:space="preserve">, mirrored at GitHub (</w:t>
      </w:r>
      <w:r>
        <w:rPr>
          <w:rStyle w:val="VerbatimChar"/>
        </w:rPr>
        <w:t xml:space="preserve">andyhsi2023-cq/visibility-bias-v2</w:t>
      </w:r>
      <w:r>
        <w:t xml:space="preserve">). We are re-depositing and verifying that every link resolves (the reviewer reported they did not) and will provide a fresh reviewer-access token to the editorial office.</w:t>
      </w:r>
    </w:p>
    <w:p>
      <w:pPr>
        <w:pStyle w:val="BodyText"/>
      </w:pPr>
      <w:r>
        <w:rPr>
          <w:b/>
          <w:bCs/>
        </w:rPr>
        <w:t xml:space="preserve">Use of generative AI.</w:t>
      </w:r>
      <w:r>
        <w:t xml:space="preserve"> </w:t>
      </w:r>
      <w:r>
        <w:t xml:space="preserve">Large-language-model classification is an</w:t>
      </w:r>
      <w:r>
        <w:t xml:space="preserve"> </w:t>
      </w:r>
      <w:r>
        <w:rPr>
          <w:i/>
          <w:iCs/>
        </w:rPr>
        <w:t xml:space="preserve">object of study and a measurement tool</w:t>
      </w:r>
      <w:r>
        <w:t xml:space="preserve"> </w:t>
      </w:r>
      <w:r>
        <w:t xml:space="preserve">in this paper (the §3.4 ensemble), documented and reproducible; separately, the authors used an LLM for copy-editing only. All substantive content and conclusions are the authors’ own.</w:t>
      </w:r>
    </w:p>
    <w:p>
      <w:pPr>
        <w:pStyle w:val="BodyText"/>
      </w:pPr>
      <w:r>
        <w:t xml:space="preserve">We suggest, as before, Daniel Mattingly (Yale), Jennifer Pan (Stanford), and Yuhua Wang (Harvard) as reviewers, and note any recusals in</w:t>
      </w:r>
      <w:r>
        <w:t xml:space="preserve"> </w:t>
      </w:r>
      <w:r>
        <w:rPr>
          <w:rStyle w:val="VerbatimChar"/>
        </w:rPr>
        <w:t xml:space="preserve">suggested_reviewers.md</w:t>
      </w:r>
      <w:r>
        <w:t xml:space="preserve">. Thank you for the opportunity to revise.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Hongyang Xi</w:t>
      </w:r>
      <w:r>
        <w:t xml:space="preserve"> </w:t>
      </w:r>
      <w:r>
        <w:t xml:space="preserve">(corresponding author), on behalf of all authors — Hongyang Xi and Liu Can (co-first) and Zhihui Li</w:t>
      </w:r>
      <w:r>
        <w:t xml:space="preserve"> </w:t>
      </w:r>
      <w:r>
        <w:t xml:space="preserve">Chongqing Survey Institute Co., Ltd., Chongqing, China</w:t>
      </w:r>
      <w:r>
        <w:t xml:space="preserve"> </w:t>
      </w:r>
      <w:r>
        <w:t xml:space="preserve">Email: 26708155@alu.cqu.edu.cn · ORCID:</w:t>
      </w:r>
      <w:r>
        <w:t xml:space="preserve"> </w:t>
      </w:r>
      <w:hyperlink r:id="rId11">
        <w:r>
          <w:rPr>
            <w:rStyle w:val="Hyperlink"/>
          </w:rPr>
          <w:t xml:space="preserve">0009-0007-6911-2309</w:t>
        </w:r>
      </w:hyperlink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7605/OSF.IO/ZMJY5" TargetMode="External" /><Relationship Type="http://schemas.openxmlformats.org/officeDocument/2006/relationships/hyperlink" Id="rId10" Target="https://doi.org/10.5281/zenodo.19569978" TargetMode="External" /><Relationship Type="http://schemas.openxmlformats.org/officeDocument/2006/relationships/hyperlink" Id="rId11" Target="https://orcid.org/0009-0007-6911-23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7605/OSF.IO/ZMJY5" TargetMode="External" /><Relationship Type="http://schemas.openxmlformats.org/officeDocument/2006/relationships/hyperlink" Id="rId10" Target="https://doi.org/10.5281/zenodo.19569978" TargetMode="External" /><Relationship Type="http://schemas.openxmlformats.org/officeDocument/2006/relationships/hyperlink" Id="rId11" Target="https://orcid.org/0009-0007-6911-23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2026-06-19T14:20:32Z</dcterms:created>
  <dcterms:modified xsi:type="dcterms:W3CDTF">2026-06-19T14:20:32Z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