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nline-appendix"/>
    <w:p>
      <w:pPr>
        <w:pStyle w:val="Heading1"/>
      </w:pPr>
      <w:r>
        <w:t xml:space="preserve">Online Appendix</w:t>
      </w:r>
    </w:p>
    <w:p>
      <w:pPr>
        <w:pStyle w:val="FirstParagraph"/>
      </w:pPr>
      <w:r>
        <w:rPr>
          <w:b/>
          <w:bCs/>
        </w:rPr>
        <w:t xml:space="preserve">Manuscript</w:t>
      </w:r>
      <w:r>
        <w:t xml:space="preserve">:</w:t>
      </w:r>
      <w:r>
        <w:t xml:space="preserve"> </w:t>
      </w:r>
      <w:r>
        <w:rPr>
          <w:i/>
          <w:iCs/>
        </w:rPr>
        <w:t xml:space="preserve">Visibility Bias in Chinese Municipal Government Work Reports: Measurement and Behavioral Validation</w:t>
      </w:r>
    </w:p>
    <w:p>
      <w:pPr>
        <w:pStyle w:val="BodyText"/>
      </w:pPr>
      <w:r>
        <w:rPr>
          <w:b/>
          <w:bCs/>
        </w:rPr>
        <w:t xml:space="preserve">Authors</w:t>
      </w:r>
      <w:r>
        <w:t xml:space="preserve">: Hongyang Xi (Chongqing Survey Institute)†, Liu Can (Guangzhou College of Applied Science and Technology)† · †co-first authors</w:t>
      </w:r>
      <w:r>
        <w:t xml:space="preserve"> </w:t>
      </w:r>
      <w:r>
        <w:rPr>
          <w:b/>
          <w:bCs/>
        </w:rPr>
        <w:t xml:space="preserve">Pre-registration</w:t>
      </w:r>
      <w:r>
        <w:t xml:space="preserve">: OSF DOI 10.17605/OSF.IO/ZMJY5</w:t>
      </w:r>
      <w:r>
        <w:t xml:space="preserve"> </w:t>
      </w:r>
      <w:r>
        <w:rPr>
          <w:b/>
          <w:bCs/>
        </w:rPr>
        <w:t xml:space="preserve">Replication</w:t>
      </w:r>
      <w:r>
        <w:t xml:space="preserve">: Zenodo DOI 10.5281/zenodo.19569978</w:t>
      </w:r>
    </w:p>
    <w:p>
      <w:r>
        <w:pict>
          <v:rect style="width:0;height:1.5pt" o:hralign="center" o:hrstd="t" o:hr="t"/>
        </w:pict>
      </w:r>
    </w:p>
    <w:bookmarkStart w:id="12" w:name="X8471dc8f1b554906e83392210d8af9ff89f9703"/>
    <w:p>
      <w:pPr>
        <w:pStyle w:val="Heading2"/>
      </w:pPr>
      <w:r>
        <w:t xml:space="preserve">Appendix A: The Full Cadre-Attention Model</w:t>
      </w:r>
    </w:p>
    <w:p>
      <w:pPr>
        <w:pStyle w:val="FirstParagraph"/>
      </w:pPr>
      <w:r>
        <w:t xml:space="preserve">The main text (§2) gives an intuitive summary of the cadre-attention model. The full derivation follows.</w:t>
      </w:r>
    </w:p>
    <w:bookmarkStart w:id="9" w:name="a.1-setup"/>
    <w:p>
      <w:pPr>
        <w:pStyle w:val="Heading3"/>
      </w:pPr>
      <w:r>
        <w:t xml:space="preserve">A.1 Setup</w:t>
      </w:r>
    </w:p>
    <w:p>
      <w:pPr>
        <w:pStyle w:val="FirstParagraph"/>
      </w:pPr>
      <w:r>
        <w:t xml:space="preserve">A local official in city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allocates a municipal capital budget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between visible capital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functional capital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subject 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 Social welfare is Cobb-Douglas: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ln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ln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supervisor observes both categories with Gaussian noise with variances</w:t>
      </w:r>
      <w:r>
        <w:t xml:space="preserve"> </w:t>
      </w:r>
      <m:oMath>
        <m:sSubSup>
          <m:e>
            <m:r>
              <m:t>ω</m:t>
            </m:r>
          </m:e>
          <m:sub>
            <m:r>
              <m:t>V</m:t>
            </m:r>
          </m:sub>
          <m:sup>
            <m:r>
              <m:t>2</m:t>
            </m:r>
          </m:sup>
        </m:sSubSup>
        <m:r>
          <m:rPr>
            <m:sty m:val="p"/>
          </m:rPr>
          <m:t>&lt;</m:t>
        </m:r>
        <m:sSubSup>
          <m:e>
            <m:r>
              <m:t>ω</m:t>
            </m:r>
          </m:e>
          <m:sub>
            <m:r>
              <m:t>F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(assumption A1, observability asymmetry). The Bayesian posterior on the official’s performance is the precision-weighted sum: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ρ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ρ</m:t>
          </m:r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ω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bSup>
            </m:num>
            <m:den>
              <m:sSubSup>
                <m:e>
                  <m:r>
                    <m:t>ω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"/>
    <w:bookmarkStart w:id="10" w:name="a.2-officials-objective-and-foc"/>
    <w:p>
      <w:pPr>
        <w:pStyle w:val="Heading3"/>
      </w:pPr>
      <w:r>
        <w:t xml:space="preserve">A.2 Official’s objective and FOC</w:t>
      </w:r>
    </w:p>
    <w:p>
      <w:pPr>
        <w:pStyle w:val="FirstParagraph"/>
      </w:pPr>
      <w:r>
        <w:t xml:space="preserve">The official maximizes a convex combination of social welfare and career value: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t>O</m:t>
              </m:r>
            </m:sup>
          </m:sSup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α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ρ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social-motivation weight. The first-order condition yields the cadre-attention equation: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α</m:t>
              </m:r>
            </m:num>
            <m:den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ϕ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ϕ</m:t>
          </m:r>
          <m:r>
            <m:rPr>
              <m:sty m:val="p"/>
            </m:rPr>
            <m:t>≡</m:t>
          </m:r>
          <m:r>
            <m:t>2</m:t>
          </m:r>
          <m:r>
            <m:t>ρ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10"/>
    <w:bookmarkStart w:id="11" w:name="a.3-closed-form-and-welfare-loss"/>
    <w:p>
      <w:pPr>
        <w:pStyle w:val="Heading3"/>
      </w:pPr>
      <w:r>
        <w:t xml:space="preserve">A.3 Closed-form and welfare loss</w:t>
      </w:r>
    </w:p>
    <w:p>
      <w:pPr>
        <w:pStyle w:val="FirstParagraph"/>
      </w:pPr>
      <w:r>
        <w:t xml:space="preserve">A Taylor expansion around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ϕ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S</m:t>
              </m:r>
              <m:r>
                <m:t>O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S</m:t>
              </m:r>
              <m:r>
                <m:t>O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S</m:t>
              </m:r>
              <m:r>
                <m:t>O</m:t>
              </m:r>
            </m:sup>
          </m:sSubSup>
          <m:r>
            <m:rPr>
              <m:sty m:val="p"/>
            </m:rPr>
            <m:t>)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welfare loss expressed as a fraction of first-best utility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  <m:r>
                    <m:t>O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  <m:r>
                    <m:t>O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  <m:r>
                    <m:t>O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quadratic form allows calibration from observed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together with a standard social-optimum benchmark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</m:sub>
          <m:sup>
            <m:r>
              <m:t>S</m:t>
            </m:r>
            <m:r>
              <m:t>O</m:t>
            </m:r>
          </m:sup>
        </m:sSubSup>
      </m:oMath>
      <w:r>
        <w:t xml:space="preserve">.</w:t>
      </w:r>
    </w:p>
    <w:bookmarkEnd w:id="11"/>
    <w:bookmarkEnd w:id="12"/>
    <w:bookmarkStart w:id="14" w:name="X2a0a38216f0fcdddfda98ee8d76cd7e7c4c7bd6"/>
    <w:p>
      <w:pPr>
        <w:pStyle w:val="Heading2"/>
      </w:pPr>
      <w:r>
        <w:t xml:space="preserve">Appendix B: Specification Curve (P1 Robustness — demoted)</w:t>
      </w:r>
    </w:p>
    <w:p>
      <w:pPr>
        <w:pStyle w:val="FirstParagraph"/>
      </w:pPr>
      <w:r>
        <w:rPr>
          <w:i/>
          <w:iCs/>
        </w:rPr>
        <w:t xml:space="preserve">This appendix supports the cross-sectional VAI→CIR association (§4.1), a modest external check (E-D, §3.2.4). It is not part of the main evidentiary spine, which rests on the behavioral criterion-validity co-movement of §3.2.7.</w:t>
      </w:r>
    </w:p>
    <w:bookmarkStart w:id="13" w:name="b.1-24-permutation-specification-curve"/>
    <w:p>
      <w:pPr>
        <w:pStyle w:val="Heading3"/>
      </w:pPr>
      <w:r>
        <w:t xml:space="preserve">B.1 24-permutation specification curve</w:t>
      </w:r>
    </w:p>
    <w:p>
      <w:pPr>
        <w:pStyle w:val="FirstParagraph"/>
      </w:pPr>
      <w:r>
        <w:t xml:space="preserve">Following Simonsohn et al. [17], we ran a pre-registered specification curve combining:</w:t>
      </w:r>
      <w:r>
        <w:t xml:space="preserve"> </w:t>
      </w:r>
      <w:r>
        <w:t xml:space="preserve">- Lexicon thresholds: denominator requirement {≥3, ≥5, ≥10 total hits}</w:t>
      </w:r>
      <w:r>
        <w:t xml:space="preserve"> </w:t>
      </w:r>
      <w:r>
        <w:t xml:space="preserve">- Control-set subsets: {all controls, drop ln_pop, drop ind2_share, no controls}</w:t>
      </w:r>
      <w:r>
        <w:t xml:space="preserve"> </w:t>
      </w:r>
      <w:r>
        <w:t xml:space="preserve">- Panel windows: {2005-2015 full, 2008-2015 post-GFC, 2012-2015 post-Xi}</w:t>
      </w:r>
      <w:r>
        <w:t xml:space="preserve"> </w:t>
      </w:r>
      <w:r>
        <w:t xml:space="preserve">- FE structure: {city + year FE, city FE only}</w:t>
      </w:r>
    </w:p>
    <w:p>
      <w:pPr>
        <w:pStyle w:val="BodyText"/>
      </w:pPr>
      <w:r>
        <w:t xml:space="preserve">Total: 3 × 4 × 3 × 2 / redundant = 24 non-redundant permutations.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: Median β = +0.107. All 24 coefficients positive. 22/24 significant at the 5% level; 2 marginally significant (p = 0.06–0.10). Full specification curve table in</w:t>
      </w:r>
      <w:r>
        <w:t xml:space="preserve"> </w:t>
      </w:r>
      <w:r>
        <w:rPr>
          <w:rStyle w:val="VerbatimChar"/>
        </w:rPr>
        <w:t xml:space="preserve">03-analysis/phase-A/specification_curve_v2.py</w:t>
      </w:r>
      <w:r>
        <w:t xml:space="preserve">.</w:t>
      </w:r>
    </w:p>
    <w:bookmarkEnd w:id="13"/>
    <w:bookmarkEnd w:id="14"/>
    <w:bookmarkStart w:id="23" w:name="X452f14eac45b57ccc67fef79c8f089abc3453a3"/>
    <w:p>
      <w:pPr>
        <w:pStyle w:val="Heading2"/>
      </w:pPr>
      <w:r>
        <w:t xml:space="preserve">Appendix C: Further Robustness and Sensitivity</w:t>
      </w:r>
    </w:p>
    <w:bookmarkStart w:id="15" w:name="c.1-dictionary-details"/>
    <w:p>
      <w:pPr>
        <w:pStyle w:val="Heading3"/>
      </w:pPr>
      <w:r>
        <w:t xml:space="preserve">C.1 Dictionary details</w:t>
      </w:r>
    </w:p>
    <w:p>
      <w:pPr>
        <w:pStyle w:val="FirstParagraph"/>
      </w:pPr>
      <w:r>
        <w:t xml:space="preserve">Full lists of V_ORIG (42 terms), F_ORIG (38 terms), V_EXT (+36 new terms, 78 total), F_EXT (+32 new terms, 70 total) are in</w:t>
      </w:r>
      <w:r>
        <w:t xml:space="preserve"> </w:t>
      </w:r>
      <w:r>
        <w:rPr>
          <w:rStyle w:val="VerbatimChar"/>
        </w:rPr>
        <w:t xml:space="preserve">03-analysis/phase-E/construct_validity.py</w:t>
      </w:r>
      <w:r>
        <w:t xml:space="preserve">. Coder-agreement statistics from the inter-coder validation protocol (Cohen’s κ):</w:t>
      </w:r>
      <w:r>
        <w:t xml:space="preserve"> </w:t>
      </w:r>
      <w:r>
        <w:t xml:space="preserve">- Visible-term marking: κ = 0.87</w:t>
      </w:r>
      <w:r>
        <w:t xml:space="preserve"> </w:t>
      </w:r>
      <w:r>
        <w:t xml:space="preserve">- Functional-term marking: κ = 0.84</w:t>
      </w:r>
      <w:r>
        <w:t xml:space="preserve"> </w:t>
      </w:r>
      <w:r>
        <w:t xml:space="preserve">- Overall orientation (1–5 Likert): ICC = 0.79</w:t>
      </w:r>
    </w:p>
    <w:bookmarkEnd w:id="15"/>
    <w:bookmarkStart w:id="16" w:name="Xc612729a8e6b34f83b3f7bb3f8f295d95398823"/>
    <w:p>
      <w:pPr>
        <w:pStyle w:val="Heading3"/>
      </w:pPr>
      <w:r>
        <w:t xml:space="preserve">C.2 Horse races against alternative explanations (main text §4.1)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β(VAI)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P1</w:t>
            </w:r>
          </w:p>
        </w:tc>
        <w:tc>
          <w:tcPr/>
          <w:p>
            <w:pPr>
              <w:pStyle w:val="Compact"/>
            </w:pPr>
            <w:r>
              <w:t xml:space="preserve">City FE + year FE + 3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GDP growth control</w:t>
            </w:r>
          </w:p>
        </w:tc>
        <w:tc>
          <w:tcPr/>
          <w:p>
            <w:pPr>
              <w:pStyle w:val="Compact"/>
            </w:pPr>
            <w:r>
              <w:t xml:space="preserve">Added annual GDP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urbanization² control</w:t>
            </w:r>
          </w:p>
        </w:tc>
        <w:tc>
          <w:tcPr/>
          <w:p>
            <w:pPr>
              <w:pStyle w:val="Compact"/>
            </w:pPr>
            <w:r>
              <w:t xml:space="preserve">Added urbanization rate and its square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leader-tenure control</w:t>
            </w:r>
          </w:p>
        </w:tc>
        <w:tc>
          <w:tcPr/>
          <w:p>
            <w:pPr>
              <w:pStyle w:val="Compact"/>
            </w:pPr>
            <w:r>
              <w:t xml:space="preserve">Added party-secretary + mayor tenure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four jointly</w:t>
            </w:r>
          </w:p>
        </w:tc>
        <w:tc>
          <w:tcPr/>
          <w:p>
            <w:pPr>
              <w:pStyle w:val="Compact"/>
            </w:pPr>
            <w:r>
              <w:t xml:space="preserve">All three above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</w:tbl>
    <w:bookmarkEnd w:id="16"/>
    <w:bookmarkStart w:id="17" w:name="c.3-p2-placebo-battery-main-text-4.5"/>
    <w:p>
      <w:pPr>
        <w:pStyle w:val="Heading3"/>
      </w:pPr>
      <w:r>
        <w:t xml:space="preserve">C.3 P2 placebo battery (main text §4.5)</w:t>
      </w:r>
    </w:p>
    <w:p>
      <w:pPr>
        <w:pStyle w:val="FirstParagraph"/>
      </w:pPr>
      <w:r>
        <w:rPr>
          <w:b/>
          <w:bCs/>
        </w:rPr>
        <w:t xml:space="preserve">Table C.3.</w:t>
      </w:r>
      <w:r>
        <w:t xml:space="preserve"> </w:t>
      </w:r>
      <w:r>
        <w:t xml:space="preserve">Placebo tests for the inspection event study.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β(k=0)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pre-era shift (fake 2011/2012)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Clean null — supports narrow-window TWFE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Far-era shift +4 yr (fake 2017/2018)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Significant — flags secular-trend contamination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Far-era shift +6 yr (fake 2019/2020)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Significant — flags secular-trend contamination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Random-assignment (500 iters)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−0.065 vs placebo [−0.043, +0.076]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Underpowered (only 2 cohorts)</w:t>
            </w:r>
          </w:p>
        </w:tc>
      </w:tr>
    </w:tbl>
    <w:bookmarkEnd w:id="17"/>
    <w:bookmarkStart w:id="18" w:name="X40be3bc864a2197f330efb499a74d5cc2a859fe"/>
    <w:p>
      <w:pPr>
        <w:pStyle w:val="Heading3"/>
      </w:pPr>
      <w:r>
        <w:t xml:space="preserve">C.4 Evidence for observability asymmetry (A1)</w:t>
      </w:r>
    </w:p>
    <w:p>
      <w:pPr>
        <w:pStyle w:val="FirstParagraph"/>
      </w:pPr>
      <w:r>
        <w:t xml:space="preserve">Three independent proxies for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F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Inspection frequency</w:t>
      </w:r>
      <w:r>
        <w:t xml:space="preserve">: Municipal Transparency Report audits per year of visible vs functional categories. Ratio 3.2:1 in favor of visible.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 reporting intensity</w:t>
      </w:r>
      <w:r>
        <w:t xml:space="preserve">: Xinhua local news mentions per month. Ratio 2.8:1 in favor of visible.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Accident-record visibility</w:t>
      </w:r>
      <w:r>
        <w:t xml:space="preserve">: Ministry of Emergency Management major-accident reports by category. Only visible-category accidents (street collapse, façade fall) receive consistent national news coverage. Functional failures (pipe rupture, flooding) are usually reported only as aggregate statistics.</w:t>
      </w:r>
    </w:p>
    <w:p>
      <w:pPr>
        <w:pStyle w:val="FirstParagraph"/>
      </w:pPr>
      <w:r>
        <w:t xml:space="preserve">All three support A1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(separately and jointly).</w:t>
      </w:r>
    </w:p>
    <w:bookmarkEnd w:id="18"/>
    <w:bookmarkStart w:id="19" w:name="X8944868ba9b6b7b5d0c6399b998af560bd2c866"/>
    <w:p>
      <w:pPr>
        <w:pStyle w:val="Heading3"/>
      </w:pPr>
      <w:r>
        <w:t xml:space="preserve">C.5 Tenure-cycle dynamics (supplementary evidence)</w:t>
      </w:r>
    </w:p>
    <w:p>
      <w:pPr>
        <w:pStyle w:val="FirstParagraph"/>
      </w:pPr>
      <w:r>
        <w:t xml:space="preserve">Event-study around scheduled leadership transition (mayor + party-secretary tenure-end year):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Event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β(VAI)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k = −2 (pre-transition −2 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k = −1 (year before transition)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k = 0 (transition year)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k = 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VAI spikes in the year before a scheduled leadership transition, when career-concern intensity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is theoretically highest. This is consistent with P2’s exogenous-attenuation logic in reverse (career-concern spikes → VAI spikes). We treat this as</w:t>
      </w:r>
      <w:r>
        <w:t xml:space="preserve"> </w:t>
      </w:r>
      <w:r>
        <w:rPr>
          <w:i/>
          <w:iCs/>
        </w:rPr>
        <w:t xml:space="preserve">supplementary</w:t>
      </w:r>
      <w:r>
        <w:t xml:space="preserve"> </w:t>
      </w:r>
      <w:r>
        <w:t xml:space="preserve">evidence because the identification relies on transitions being partially exogenous, which is weaker than our pre-registered design. Results replicate under city + year FE and are insensitive to controls.</w:t>
      </w:r>
    </w:p>
    <w:bookmarkEnd w:id="19"/>
    <w:bookmarkStart w:id="20" w:name="c.6-heterogeneity-by-fiscal-capacity"/>
    <w:p>
      <w:pPr>
        <w:pStyle w:val="Heading3"/>
      </w:pPr>
      <w:r>
        <w:t xml:space="preserve">C.6 Heterogeneity by fiscal capacity</w:t>
      </w:r>
    </w:p>
    <w:p>
      <w:pPr>
        <w:pStyle w:val="FirstParagraph"/>
      </w:pPr>
      <w:r>
        <w:t xml:space="preserve">The cadre-attention first-order condition (Online Appendix A.2) predicts that the visibility-bias distortion increases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 We split the sample by above/below-median per-capita fiscal revenue: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β(VAI) on CIR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Above-median fiscal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Below-median fiscal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 (above × VAI)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2,751</w:t>
            </w:r>
          </w:p>
        </w:tc>
      </w:tr>
    </w:tbl>
    <w:p>
      <w:pPr>
        <w:pStyle w:val="BodyText"/>
      </w:pPr>
      <w:r>
        <w:t xml:space="preserve">The high-revenue subsample’s coefficient is substantially larger and more significant. The interaction is statistically distinguishable (p = 0.024).</w:t>
      </w:r>
    </w:p>
    <w:bookmarkEnd w:id="20"/>
    <w:bookmarkStart w:id="21" w:name="c.7-welfare-sensitivity-main-text-4.3"/>
    <w:p>
      <w:pPr>
        <w:pStyle w:val="Heading3"/>
      </w:pPr>
      <w:r>
        <w:t xml:space="preserve">C.7 Welfare sensitivity (main text §4.3)</w:t>
      </w:r>
    </w:p>
    <w:p>
      <w:pPr>
        <w:pStyle w:val="FirstParagraph"/>
      </w:pPr>
      <w:r>
        <w:t xml:space="preserve">Full sensitivity across</w:t>
      </w:r>
      <w:r>
        <w:t xml:space="preserve"> </w:t>
      </w:r>
      <m:oMath>
        <m:sSup>
          <m:e>
            <m:r>
              <m:t>a</m:t>
            </m:r>
          </m:e>
          <m:sup>
            <m:r>
              <m:t>S</m:t>
            </m:r>
            <m:r>
              <m:t>O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0.40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]</m:t>
        </m:r>
      </m:oMath>
      <w:r>
        <w:t xml:space="preserve">, utility forms, and shadow-pricing assumptions: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a</m:t>
                  </m:r>
                </m:e>
                <m:sup>
                  <m:r>
                    <m:t>S</m:t>
                  </m:r>
                  <m:r>
                    <m:t>O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W</m:t>
              </m:r>
            </m:oMath>
            <w:r>
              <w:t xml:space="preserve"> </w:t>
            </w:r>
            <w:r>
              <w:t xml:space="preserve">per ¥1000B renewal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Scaled to ¥3.5T/yr × 8% renewal share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¥0.2B/yr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Log (central)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¥4.4B/yr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¥11.0B/yr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CRRA(γ=2)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¥8.8B/yr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BOE (replacement cost)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¥55B/yr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Defensible range</w:t>
      </w:r>
      <w:r>
        <w:t xml:space="preserve">: ¥1–15B/yr under log utility and</w:t>
      </w:r>
      <w:r>
        <w:t xml:space="preserve"> </w:t>
      </w:r>
      <m:oMath>
        <m:sSup>
          <m:e>
            <m:r>
              <m:t>a</m:t>
            </m:r>
          </m:e>
          <m:sup>
            <m:r>
              <m:t>S</m:t>
            </m:r>
            <m:r>
              <m:t>O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0.40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]</m:t>
        </m:r>
      </m:oMath>
      <w:r>
        <w:t xml:space="preserve">. The ¥55B BOE is a ceiling. (This calibration is demoted; the main text attaches no headline welfare figure. See §4.4.)</w:t>
      </w:r>
    </w:p>
    <w:bookmarkEnd w:id="21"/>
    <w:bookmarkStart w:id="22" w:name="Xfab6bd1de0833801290ea5b4b11313007dd710a"/>
    <w:p>
      <w:pPr>
        <w:pStyle w:val="Heading3"/>
      </w:pPr>
      <w:r>
        <w:t xml:space="preserve">C.8 Passage-validation confusion matrix and error taxonomy (main text §3.2.0)</w:t>
      </w:r>
    </w:p>
    <w:p>
      <w:pPr>
        <w:pStyle w:val="FirstParagraph"/>
      </w:pPr>
      <w:r>
        <w:t xml:space="preserve">Human gold standard: 120 sentences, four-class coding (visible / functional / mixed / irrelevant). Source:</w:t>
      </w:r>
      <w:r>
        <w:t xml:space="preserve"> </w:t>
      </w:r>
      <w:r>
        <w:rPr>
          <w:rStyle w:val="VerbatimChar"/>
        </w:rPr>
        <w:t xml:space="preserve">03-analysis/phase-K/</w:t>
      </w:r>
      <w:r>
        <w:t xml:space="preserve"> </w:t>
      </w:r>
      <w:r>
        <w:t xml:space="preserve">(</w:t>
      </w:r>
      <w:r>
        <w:rPr>
          <w:rStyle w:val="VerbatimChar"/>
        </w:rPr>
        <w:t xml:space="preserve">anchor_human_labels.csv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score_anchor.py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Table C.8a. Concrete (salience-based) dictionary vs human coding, n = 120.</w:t>
      </w:r>
      <w:r>
        <w:t xml:space="preserve"> </w:t>
      </w:r>
      <w:r>
        <w:t xml:space="preserve">Rows = human label, columns = dictionary prediction.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human ↓ / dict 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irrelevant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p>
      <w:pPr>
        <w:pStyle w:val="BodyText"/>
      </w:pPr>
      <w:r>
        <w:t xml:space="preserve">Per class: visible P = 0.500, R = 0.789, F1 = 0.61; functional P = 0.600, R = 0.900; mixed P = 0.800, R = 0.600; irrelevant P = 0.900, R = 0.659. Overall four-class accuracy = 0.74.</w:t>
      </w:r>
    </w:p>
    <w:p>
      <w:pPr>
        <w:pStyle w:val="BodyText"/>
      </w:pPr>
      <w:r>
        <w:rPr>
          <w:b/>
          <w:bCs/>
        </w:rPr>
        <w:t xml:space="preserve">Table C.8b. Visible-class false-positive taxonomy (naive dictionary).</w:t>
      </w:r>
      <w:r>
        <w:t xml:space="preserve"> </w:t>
      </w:r>
      <w:r>
        <w:t xml:space="preserve">Of 84 naive visible-class false positives (dictionary = visible, human/ensemble = not infrastructure), the drivers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 positives</w:t>
            </w:r>
          </w:p>
        </w:tc>
        <w:tc>
          <w:tcPr/>
          <w:p>
            <w:pPr>
              <w:pStyle w:val="Compact"/>
            </w:pPr>
            <w:r>
              <w:t xml:space="preserve">typical non-infrastructure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</w:t>
            </w:r>
            <w:r>
              <w:rPr>
                <w:i/>
                <w:iCs/>
              </w:rPr>
              <w:t xml:space="preserve">shìfàn</w:t>
            </w:r>
            <w:r>
              <w:t xml:space="preserve"> </w:t>
            </w:r>
            <w:r>
              <w:t xml:space="preserve">(model/demonstration)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60–61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示范区,</w:t>
            </w:r>
            <w:r>
              <w:t xml:space="preserve"> </w:t>
            </w:r>
            <w:r>
              <w:rPr>
                <w:rFonts w:hint="eastAsia"/>
              </w:rPr>
              <w:t xml:space="preserve">示范项目,</w:t>
            </w:r>
            <w:r>
              <w:t xml:space="preserve"> </w:t>
            </w:r>
            <w:r>
              <w:rPr>
                <w:rFonts w:hint="eastAsia"/>
              </w:rPr>
              <w:t xml:space="preserve">改革示范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文明城市</w:t>
            </w:r>
            <w:r>
              <w:t xml:space="preserve"> </w:t>
            </w:r>
            <w:r>
              <w:rPr>
                <w:i/>
                <w:iCs/>
              </w:rPr>
              <w:t xml:space="preserve">wénmíng chéngshì</w:t>
            </w:r>
            <w:r>
              <w:t xml:space="preserve"> </w:t>
            </w:r>
            <w:r>
              <w:t xml:space="preserve">(civilized city)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award/campaign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</w:t>
            </w:r>
            <w:r>
              <w:rPr>
                <w:i/>
                <w:iCs/>
              </w:rPr>
              <w:t xml:space="preserve">zhǎnshì</w:t>
            </w:r>
            <w:r>
              <w:t xml:space="preserve"> </w:t>
            </w:r>
            <w:r>
              <w:t xml:space="preserve">(display/showcase)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“display achievements”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美丽</w:t>
            </w:r>
            <w:r>
              <w:t xml:space="preserve"> </w:t>
            </w:r>
            <w:r>
              <w:rPr>
                <w:i/>
                <w:iCs/>
              </w:rPr>
              <w:t xml:space="preserve">měilì</w:t>
            </w:r>
            <w:r>
              <w:t xml:space="preserve"> </w:t>
            </w:r>
            <w:r>
              <w:t xml:space="preserve">(beautiful)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美丽乡村</w:t>
            </w:r>
            <w:r>
              <w:t xml:space="preserve"> slogan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形象</w:t>
            </w:r>
            <w:r>
              <w:t xml:space="preserve"> </w:t>
            </w:r>
            <w:r>
              <w:rPr>
                <w:i/>
                <w:iCs/>
              </w:rPr>
              <w:t xml:space="preserve">xíngxiàng</w:t>
            </w:r>
            <w:r>
              <w:t xml:space="preserve"> </w:t>
            </w:r>
            <w:r>
              <w:t xml:space="preserve">(image)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“government image”</w:t>
            </w:r>
          </w:p>
        </w:tc>
      </w:tr>
    </w:tbl>
    <w:p>
      <w:pPr>
        <w:pStyle w:val="BodyText"/>
      </w:pPr>
      <w:r>
        <w:rPr>
          <w:rStyle w:val="VerbatimChar"/>
          <w:rFonts w:hint="eastAsia"/>
        </w:rPr>
        <w:t xml:space="preserve">示范</w:t>
      </w:r>
      <w:r>
        <w:t xml:space="preserve"> </w:t>
      </w:r>
      <w:r>
        <w:t xml:space="preserve">alone accounts for ~70% of visible false positives. This single-cause failure motivated the move to a concrete, salience-based lexicon (§3.2.2). Blanket-pruning the 13 most polysemous terms raises visible precision to 0.59 but collapses recall to 0.47, so the fix is surgical.</w:t>
      </w:r>
    </w:p>
    <w:p>
      <w:pPr>
        <w:pStyle w:val="BodyText"/>
      </w:pPr>
      <w:r>
        <w:rPr>
          <w:b/>
          <w:bCs/>
        </w:rPr>
        <w:t xml:space="preserve">Human intercoder agreement.</w:t>
      </w:r>
      <w:r>
        <w:t xml:space="preserve"> </w:t>
      </w:r>
      <w:r>
        <w:t xml:space="preserve">The 120-sentence gold standard was independently double-coded by two coders on the identical locked sentence set (</w:t>
      </w:r>
      <w:r>
        <w:rPr>
          <w:rStyle w:val="VerbatimChar"/>
        </w:rPr>
        <w:t xml:space="preserve">03-analysis/phase-K/second_coder_sheet_LOCKED.csv</w:t>
      </w:r>
      <w:r>
        <w:t xml:space="preserve">, with dictionary and ensemble labels hidden). The</w:t>
      </w:r>
      <w:r>
        <w:t xml:space="preserve"> </w:t>
      </w:r>
      <w:r>
        <w:rPr>
          <w:b/>
          <w:bCs/>
        </w:rPr>
        <w:t xml:space="preserve">human intercoder agreement is Cohen κ = 0.70</w:t>
      </w:r>
      <w:r>
        <w:t xml:space="preserve"> </w:t>
      </w:r>
      <w:r>
        <w:t xml:space="preserve">(substantial; n = 120). Agreement is highest on the irrelevant and functional classes. The residual disagreement concentrates on the visible-versus-mixed boundary, consistent with the polysemy difficulty documented in §3.2.0, which is itself part of why high passage precision favors the LLM ensemble. Human↔ensemble agreement is Cohen κ = 0.66.</w:t>
      </w:r>
    </w:p>
    <w:p>
      <w:pPr>
        <w:pStyle w:val="BodyText"/>
      </w:pPr>
      <w:r>
        <w:rPr>
          <w:b/>
          <w:bCs/>
        </w:rPr>
        <w:t xml:space="preserve">Figure ESM-6 (procurement, §4.3).</w:t>
      </w:r>
      <w:r>
        <w:t xml:space="preserve"> </w:t>
      </w:r>
      <w:r>
        <w:rPr>
          <w:rStyle w:val="VerbatimChar"/>
        </w:rPr>
        <w:t xml:space="preserve">04-figures/fig_bidding_by_city.{pdf,png}</w:t>
      </w:r>
      <w:r>
        <w:t xml:space="preserve"> </w:t>
      </w:r>
      <w:r>
        <w:t xml:space="preserve">— visible:functional project-count ratio across Zhejiang localities (2.96M procurement records, 2019–2026; v2 domain-verified lexicon). Panel A: distribution over 108 localities (median 1.8; 97 of 108 above 1:1 parity). Panel B: top 15 localities by procurement volume (near-parity county exceptions in red). Source:</w:t>
      </w:r>
      <w:r>
        <w:t xml:space="preserve"> </w:t>
      </w:r>
      <w:r>
        <w:rPr>
          <w:rStyle w:val="VerbatimChar"/>
        </w:rPr>
        <w:t xml:space="preserve">03-analysis/phase-L-bidding/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classify_bidding.py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bidding_lexicon.py</w:t>
      </w:r>
      <w:r>
        <w:t xml:space="preserve"> </w:t>
      </w:r>
      <w:r>
        <w:t xml:space="preserve">v2,</w:t>
      </w:r>
      <w:r>
        <w:t xml:space="preserve"> </w:t>
      </w:r>
      <w:r>
        <w:rPr>
          <w:rStyle w:val="VerbatimChar"/>
        </w:rPr>
        <w:t xml:space="preserve">by_city.csv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Table C.8c. LLM-ensemble (Gemini 3.1 Pro + ChatGPT 5.5 + DeepSeek) vs human, n = 499.</w:t>
      </w:r>
      <w:r>
        <w:t xml:space="preserve"> </w:t>
      </w:r>
      <w:r>
        <w:t xml:space="preserve">Majority label; inter-model Fleiss κ = 0.835; overall accuracy 0.842; human↔ensemble Cohen κ = 0.66. Source:</w:t>
      </w:r>
      <w:r>
        <w:t xml:space="preserve"> </w:t>
      </w:r>
      <w:r>
        <w:rPr>
          <w:rStyle w:val="VerbatimChar"/>
        </w:rPr>
        <w:t xml:space="preserve">passage_coding_sheet_ensemble.validation.json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irrelevant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</w:tr>
    </w:tbl>
    <w:bookmarkEnd w:id="22"/>
    <w:bookmarkEnd w:id="23"/>
    <w:bookmarkStart w:id="24" w:name="Xed20a5bd0ae3e0c69a881047d726bda0aa67fc5"/>
    <w:p>
      <w:pPr>
        <w:pStyle w:val="Heading2"/>
      </w:pPr>
      <w:r>
        <w:t xml:space="preserve">Appendix D: Pre-Registration and Deviation Log</w:t>
      </w:r>
    </w:p>
    <w:p>
      <w:pPr>
        <w:pStyle w:val="FirstParagraph"/>
      </w:pPr>
      <w:r>
        <w:t xml:space="preserve">(In main text as §6 Appendix D. See Deviations D-B-1 through D-F-1.)</w:t>
      </w:r>
    </w:p>
    <w:bookmarkEnd w:id="24"/>
    <w:bookmarkStart w:id="25" w:name="appendix-e-replication-architecture"/>
    <w:p>
      <w:pPr>
        <w:pStyle w:val="Heading2"/>
      </w:pPr>
      <w:r>
        <w:t xml:space="preserve">Appendix E: Replication Architecture</w:t>
      </w:r>
    </w:p>
    <w:p>
      <w:pPr>
        <w:pStyle w:val="FirstParagraph"/>
      </w:pPr>
      <w:r>
        <w:t xml:space="preserve">Full directory layout (Zenodo record 19569978):</w:t>
      </w:r>
    </w:p>
    <w:p>
      <w:pPr>
        <w:pStyle w:val="SourceCode"/>
      </w:pPr>
      <w:r>
        <w:rPr>
          <w:rStyle w:val="VerbatimChar"/>
        </w:rPr>
        <w:t xml:space="preserve">visibility-bias-v2/</w:t>
      </w:r>
      <w:r>
        <w:br/>
      </w:r>
      <w:r>
        <w:rPr>
          <w:rStyle w:val="VerbatimChar"/>
        </w:rPr>
        <w:t xml:space="preserve">├── 00-admin/           Research plan, upgrade roadmap, outreach drafts</w:t>
      </w:r>
      <w:r>
        <w:br/>
      </w:r>
      <w:r>
        <w:rPr>
          <w:rStyle w:val="VerbatimChar"/>
        </w:rPr>
        <w:t xml:space="preserve">├── 03-analysis/        Python analysis by phase:</w:t>
      </w:r>
      <w:r>
        <w:br/>
      </w:r>
      <w:r>
        <w:rPr>
          <w:rStyle w:val="VerbatimChar"/>
        </w:rPr>
        <w:t xml:space="preserve">│                         G/K  passage validation (human gold + 3-model LLM ensemble)</w:t>
      </w:r>
      <w:r>
        <w:br/>
      </w:r>
      <w:r>
        <w:rPr>
          <w:rStyle w:val="VerbatimChar"/>
        </w:rPr>
        <w:t xml:space="preserve">│                         J    behavioral criterion validity (turnover co-movement)</w:t>
      </w:r>
      <w:r>
        <w:br/>
      </w:r>
      <w:r>
        <w:rPr>
          <w:rStyle w:val="VerbatimChar"/>
        </w:rPr>
        <w:t xml:space="preserve">│                         L    Zhejiang procurement-frequency check</w:t>
      </w:r>
      <w:r>
        <w:br/>
      </w:r>
      <w:r>
        <w:rPr>
          <w:rStyle w:val="VerbatimChar"/>
        </w:rPr>
        <w:t xml:space="preserve">│                         B/B2/E/E2/F  demoted inspection / construct / micro tests</w:t>
      </w:r>
      <w:r>
        <w:br/>
      </w:r>
      <w:r>
        <w:rPr>
          <w:rStyle w:val="VerbatimChar"/>
        </w:rPr>
        <w:t xml:space="preserve">├── 04-figures/         PDF and PNG figures for all main-text exhibits</w:t>
      </w:r>
      <w:r>
        <w:br/>
      </w:r>
      <w:r>
        <w:rPr>
          <w:rStyle w:val="VerbatimChar"/>
        </w:rPr>
        <w:t xml:space="preserve">├── 05-manuscript/      Manuscript sections + compiled R2 + submission package</w:t>
      </w:r>
      <w:r>
        <w:br/>
      </w:r>
      <w:r>
        <w:rPr>
          <w:rStyle w:val="VerbatimChar"/>
        </w:rPr>
        <w:t xml:space="preserve">├── 06-review/          S7 audit reports + phase memos</w:t>
      </w:r>
      <w:r>
        <w:br/>
      </w:r>
      <w:r>
        <w:rPr>
          <w:rStyle w:val="VerbatimChar"/>
        </w:rPr>
        <w:t xml:space="preserve">├── 07-prereg/          OSF pre-registration archive + Zenodo DOI record</w:t>
      </w:r>
      <w:r>
        <w:br/>
      </w:r>
      <w:r>
        <w:rPr>
          <w:rStyle w:val="VerbatimChar"/>
        </w:rPr>
        <w:t xml:space="preserve">├── 01-literature/      references.bib</w:t>
      </w:r>
      <w:r>
        <w:br/>
      </w:r>
      <w:r>
        <w:rPr>
          <w:rStyle w:val="VerbatimChar"/>
        </w:rPr>
        <w:t xml:space="preserve">└── 02-data/processed/  text panels (naive + concrete lexicons), CCDI rounds</w:t>
      </w:r>
    </w:p>
    <w:p>
      <w:pPr>
        <w:pStyle w:val="FirstParagraph"/>
      </w:pPr>
      <w:r>
        <w:t xml:space="preserve">The criterion-validity panel</w:t>
      </w:r>
      <w:r>
        <w:t xml:space="preserve"> </w:t>
      </w:r>
      <w:r>
        <w:rPr>
          <w:rStyle w:val="VerbatimChar"/>
        </w:rPr>
        <w:t xml:space="preserve">master_2002_2024.csv</w:t>
      </w:r>
      <w:r>
        <w:t xml:space="preserve"> </w:t>
      </w:r>
      <w:r>
        <w:t xml:space="preserve">(merged from the absorbed</w:t>
      </w:r>
      <w:r>
        <w:t xml:space="preserve"> </w:t>
      </w:r>
      <w:r>
        <w:rPr>
          <w:rStyle w:val="VerbatimChar"/>
        </w:rPr>
        <w:t xml:space="preserve">officials-turnover-cn</w:t>
      </w:r>
      <w:r>
        <w:t xml:space="preserve"> </w:t>
      </w:r>
      <w:r>
        <w:t xml:space="preserve">materials; holds both the naive</w:t>
      </w:r>
      <w:r>
        <w:t xml:space="preserve"> </w:t>
      </w:r>
      <w:r>
        <w:rPr>
          <w:rStyle w:val="VerbatimChar"/>
        </w:rPr>
        <w:t xml:space="preserve">vai_composite</w:t>
      </w:r>
      <w:r>
        <w:t xml:space="preserve"> </w:t>
      </w:r>
      <w:r>
        <w:t xml:space="preserve">and concrete</w:t>
      </w:r>
      <w:r>
        <w:t xml:space="preserve"> </w:t>
      </w:r>
      <w:r>
        <w:rPr>
          <w:rStyle w:val="VerbatimChar"/>
        </w:rPr>
        <w:t xml:space="preserve">wr_visibility</w:t>
      </w:r>
      <w:r>
        <w:t xml:space="preserve"> </w:t>
      </w:r>
      <w:r>
        <w:t xml:space="preserve">series alongside CIR and turnover variables) and the lexicon-build script</w:t>
      </w:r>
      <w:r>
        <w:t xml:space="preserve"> </w:t>
      </w:r>
      <w:r>
        <w:rPr>
          <w:rStyle w:val="VerbatimChar"/>
        </w:rPr>
        <w:t xml:space="preserve">build_workreport_text.py</w:t>
      </w:r>
      <w:r>
        <w:t xml:space="preserve"> </w:t>
      </w:r>
      <w:r>
        <w:t xml:space="preserve">are included in the Zenodo record. Running instructions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at the record root.</w:t>
      </w:r>
    </w:p>
    <w:p>
      <w:pPr>
        <w:pStyle w:val="BodyText"/>
      </w:pPr>
      <w:r>
        <w:rPr>
          <w:i/>
          <w:iCs/>
        </w:rPr>
        <w:t xml:space="preserve">Note: the absorbed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officials-turnover-cn</w:t>
      </w:r>
      <w:r>
        <w:rPr>
          <w:i/>
          <w:iCs/>
        </w:rPr>
        <w:t xml:space="preserve"> </w:t>
      </w:r>
      <w:r>
        <w:rPr>
          <w:i/>
          <w:iCs/>
        </w:rPr>
        <w:t xml:space="preserve">project is not published separately; its retirement-exogenous identification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wr_visibility</w:t>
      </w:r>
      <w:r>
        <w:rPr>
          <w:i/>
          <w:iCs/>
        </w:rPr>
        <w:t xml:space="preserve"> </w:t>
      </w:r>
      <w:r>
        <w:rPr>
          <w:i/>
          <w:iCs/>
        </w:rPr>
        <w:t xml:space="preserve">measure are folded into this paper, so there is no double-publication and no citation of unpublished work.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2026-06-20T01:30:45Z</dcterms:created>
  <dcterms:modified xsi:type="dcterms:W3CDTF">2026-06-20T01:30:45Z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