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180" w:lineRule="auto"/>
      </w:pPr>
      <w:r>
        <w:rPr>
          <w:b/>
          <w:bCs/>
          <w:color w:val="215E99"/>
          <w:sz w:val="44"/>
          <w:szCs w:val="44"/>
          <w:rFonts w:ascii="Arial Unicode MS" w:cs="Arial Unicode MS" w:eastAsia="Arial Unicode MS" w:hAnsi="Arial Unicode MS"/>
        </w:rPr>
        <w:t xml:space="preserve">follow</w:t>
      </w:r>
      <w:r>
        <w:rPr>
          <w:sz w:val="32"/>
          <w:szCs w:val="32"/>
          <w:rFonts w:ascii="Arial Unicode MS" w:cs="Arial Unicode MS" w:eastAsia="Arial Unicode MS" w:hAnsi="Arial Unicode MS"/>
        </w:rPr>
        <w:t xml:space="preserve">  </w:t>
      </w:r>
      <w:r>
        <w:rPr>
          <w:color w:val="BF4E14"/>
          <w:sz w:val="32"/>
          <w:szCs w:val="32"/>
          <w:rFonts w:ascii="Arial Unicode MS" w:cs="Arial Unicode MS" w:eastAsia="Arial Unicode MS" w:hAnsi="Arial Unicode MS"/>
        </w:rPr>
        <w:t xml:space="preserve">[fˈɑlo]</w:t>
      </w:r>
      <w:r>
        <w:rPr>
          <w:sz w:val="32"/>
          <w:szCs w:val="32"/>
          <w:rFonts w:ascii="Arial Unicode MS" w:cs="Arial Unicode MS" w:eastAsia="Arial Unicode MS" w:hAnsi="Arial Unicode MS"/>
        </w:rPr>
        <w:t xml:space="preserve">  </w:t>
      </w:r>
      <w:r>
        <w:rPr>
          <w:sz w:val="28"/>
          <w:szCs w:val="28"/>
          <w:rFonts w:ascii="Arial Unicode MS" w:cs="Arial Unicode MS" w:eastAsia="Arial Unicode MS" w:hAnsi="Arial Unicode MS"/>
        </w:rPr>
        <w:t xml:space="preserve">(動) 跟隨</w:t>
      </w:r>
      <w:r>
        <w:rPr>
          <w:sz w:val="32"/>
          <w:szCs w:val="32"/>
          <w:rFonts w:ascii="Arial Unicode MS" w:cs="Arial Unicode MS" w:eastAsia="Arial Unicode MS" w:hAnsi="Arial Unicode MS"/>
        </w:rPr>
        <w:t xml:space="preserve">  </w:t>
      </w:r>
      <w:r>
        <w:rPr>
          <w:color w:val="7F7F7F"/>
          <w:sz w:val="20"/>
          <w:szCs w:val="20"/>
          <w:rFonts w:ascii="Arial Unicode MS" w:cs="Arial Unicode MS" w:eastAsia="Arial Unicode MS" w:hAnsi="Arial Unicode MS"/>
        </w:rPr>
        <w:t xml:space="preserve">151 次</w:t>
      </w:r>
    </w:p>
    <w:p>
      <w:pPr>
        <w:spacing w:before="180" w:after="0" w:line="180" w:lineRule="auto"/>
        <w:ind w:left="340" w:hanging="340"/>
      </w:pPr>
      <w:r>
        <w:rPr>
          <w:sz w:val="32"/>
          <w:szCs w:val="32"/>
          <w:rFonts w:ascii="Arial Unicode MS" w:cs="Arial Unicode MS" w:eastAsia="Arial Unicode MS" w:hAnsi="Arial Unicode MS"/>
        </w:rPr>
        <w:t xml:space="preserve">1.  </w:t>
      </w:r>
      <w:r>
        <w:rPr>
          <w:sz w:val="32"/>
          <w:szCs w:val="32"/>
          <w:rFonts w:ascii="Arial Unicode MS" w:cs="Arial Unicode MS" w:eastAsia="Arial Unicode MS" w:hAnsi="Arial Unicode MS"/>
        </w:rPr>
        <w:t xml:space="preserve">They grade and report on the quality of products, customer service, and environment of the stores 12 they are assigned. 113</w:t>
      </w:r>
    </w:p>
    <w:p>
      <w:pPr>
        <w:spacing w:after="0" w:line="180" w:lineRule="auto"/>
        <w:ind w:left="336"/>
      </w:pPr>
      <w:r>
        <w:rPr>
          <w:color w:val="7F7F7F"/>
          <w:sz w:val="20"/>
          <w:szCs w:val="20"/>
          <w:rFonts w:ascii="Arial Unicode MS" w:cs="Arial Unicode MS" w:eastAsia="Arial Unicode MS" w:hAnsi="Arial Unicode MS"/>
        </w:rPr>
        <w:t xml:space="preserve">（113-學測）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2026-05-21T13:14:30.247Z</dcterms:created>
  <dcterms:modified xsi:type="dcterms:W3CDTF">2026-05-21T13:14:30.248Z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