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Arial" w:cs="Arial" w:eastAsia="Arial" w:hAnsi="Arial"/>
          <w:color w:val="595959"/>
          <w:sz w:val="20"/>
          <w:szCs w:val="20"/>
        </w:rPr>
        <w:t xml:space="preserve">윌로그 로지스틱스 부문</w:t>
      </w:r>
    </w:p>
    <w:p>
      <w:pPr>
        <w:spacing w:after="40"/>
        <w:jc w:val="left"/>
      </w:pPr>
      <w:r>
        <w:rPr>
          <w:rFonts w:ascii="Arial" w:cs="Arial" w:eastAsia="Arial" w:hAnsi="Arial"/>
          <w:b/>
          <w:bCs/>
          <w:color w:val="1F3864"/>
          <w:sz w:val="40"/>
          <w:szCs w:val="40"/>
        </w:rPr>
        <w:t xml:space="preserve">2026년 상반기 매출 실적 미달 원인 분석 리포트</w:t>
      </w:r>
    </w:p>
    <w:p>
      <w:pPr>
        <w:spacing w:after="300"/>
      </w:pPr>
      <w:r>
        <w:rPr>
          <w:color w:val="595959"/>
          <w:sz w:val="18"/>
          <w:szCs w:val="18"/>
        </w:rPr>
        <w:t xml:space="preserve">작성일: 2026-07-10   |   작성: Andy Kim   |   분석 대상: 2026년 상반기(1~6월), 윌로그 로지스틱스 부문 전체</w:t>
      </w:r>
    </w:p>
    <w:p>
      <w:pPr>
        <w:pStyle w:val="Heading1"/>
      </w:pPr>
      <w:r>
        <w:t xml:space="preserve">1. Executive Summary</w:t>
      </w:r>
    </w:p>
    <w:p>
      <w:pPr>
        <w:spacing w:after="160" w:line="300"/>
      </w:pPr>
      <w:r>
        <w:rPr>
          <w:rFonts w:ascii="Arial" w:cs="Arial" w:eastAsia="Arial" w:hAnsi="Arial"/>
          <w:sz w:val="21"/>
          <w:szCs w:val="21"/>
        </w:rPr>
        <w:t xml:space="preserve">2026년 로지스틱스 부문 연간 매출 목표는 60.0억 원이며, 상반기(1~6월) 누적 달성 매출은 8.8억 원으로 연간 목표 대비 14.64%에 그쳤다. 다만 연간 목표는 하반기(9월·12월)에 집중 배분되어 있어, 상반기 자체 목표(약 24.5억 원) 대비로 환산하면 달성률은 약 35.9%이며, 2분기 단독 기준으로는 34.71%(목표 13.7억 원 중 4.8억 원)였다.</w:t>
      </w:r>
    </w:p>
    <w:p>
      <w:pPr>
        <w:spacing w:after="160" w:line="300"/>
      </w:pPr>
      <w:r>
        <w:rPr>
          <w:rFonts w:ascii="Arial" w:cs="Arial" w:eastAsia="Arial" w:hAnsi="Arial"/>
          <w:sz w:val="21"/>
          <w:szCs w:val="21"/>
        </w:rPr>
        <w:t xml:space="preserve">상반기 목표 대비 실적 미달은 특정 한 달의 일시적 부진이 아니라 1분기(약 36.8%)와 2분기(34.71%) 모두 유사한 수준의 구조적 미달로 나타났다. 원인 분석 결과, 미달은 세 개 매출 세그먼트(개인 직접영업, 대리점/채널, 소규모 세그먼트) 중 대리점/채널과 소규모 세그먼트의 실적이 사실상 방치 수준(각각 3.57%, 1.19% 달성)인 데서 크게 기인했으며, 서비스 라인 관점에서도 매출이 창고(warehouse) 서비스 한 곳에 72.7% 집중되어 있어 회사가 동시에 추진 중인 다수의 이니셔티브(국제운송, 차량모니터링, 바이오, 차세대 플랫폼 등)가 매출로 전환되지 못하고 있다.</w:t>
      </w:r>
    </w:p>
    <w:p>
      <w:pPr>
        <w:spacing w:after="200" w:before="60"/>
      </w:pPr>
      <w:r>
        <w:rPr>
          <w:rFonts w:ascii="Arial" w:cs="Arial" w:eastAsia="Arial" w:hAnsi="Arial"/>
          <w:i/>
          <w:iCs/>
          <w:color w:val="595959"/>
          <w:sz w:val="18"/>
          <w:szCs w:val="18"/>
        </w:rPr>
        <w:t xml:space="preserve">※ 본 리포트는 첨부된 매출 대시보드(Willog_Logistics_Sales_Scoreboard.pdf)와, 동일 세션에서 스캔된 최근 1주일(7/3~7/10) 이메일·Slack 데이터를 근거로 작성되었다. 제품 품질·고객지원 관련 서술은 상반기 전체 CS 이력이 아닌 최근 1주일 표본에 기반한 것으로, 전체 기간에 대한 결론이 아니라 관찰된 패턴으로 이해할 것을 권고한다.</w:t>
      </w:r>
    </w:p>
    <w:p>
      <w:pPr>
        <w:pStyle w:val="Heading1"/>
      </w:pPr>
      <w:r>
        <w:t xml:space="preserve">2. 매출 실적 총괄</w:t>
      </w:r>
    </w:p>
    <w:p>
      <w:pPr>
        <w:pStyle w:val="Heading2"/>
      </w:pPr>
      <w:r>
        <w:t xml:space="preserve">2.1 전사 총계</w:t>
      </w: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2400"/>
        <w:gridCol w:w="2760"/>
      </w:tblGrid>
      <w:tr>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구분</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목표</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실적</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달성률</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연간(26년)</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60.0억</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8.8억</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00000"/>
                <w:sz w:val="20"/>
                <w:szCs w:val="20"/>
              </w:rPr>
              <w:t xml:space="preserve">14.64%</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상반기(1~6월, 환산)</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약 24.5억</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8.8억</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00000"/>
                <w:sz w:val="20"/>
                <w:szCs w:val="20"/>
              </w:rPr>
              <w:t xml:space="preserve">약 35.9%</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1분기</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약 10.9억</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약 4.0억</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약 36.8%</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2분기</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13.7억</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4.8억</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34.71%</w:t>
            </w:r>
          </w:p>
        </w:tc>
      </w:tr>
    </w:tbl>
    <w:p>
      <w:pPr>
        <w:spacing w:after="200" w:before="60"/>
      </w:pPr>
      <w:r>
        <w:rPr>
          <w:rFonts w:ascii="Arial" w:cs="Arial" w:eastAsia="Arial" w:hAnsi="Arial"/>
          <w:i/>
          <w:iCs/>
          <w:color w:val="595959"/>
          <w:sz w:val="18"/>
          <w:szCs w:val="18"/>
        </w:rPr>
        <w:t xml:space="preserve">연간 목표 60억 원 중 9월(8.2억)·12월(9.4억) 등 하반기에 목표가 집중 배분되어 있어, 연간 달성률(14.64%)만으로 평가할 경우 실제보다 부진이 과장되어 보일 수 있음. 다만 상반기 자체 목표 대비로도 약 64%가 미달(35.9% 달성)로, 구조적 미달은 명확함.</w:t>
      </w:r>
    </w:p>
    <w:p>
      <w:pPr>
        <w:pStyle w:val="Heading2"/>
      </w:pPr>
      <w:r>
        <w:t xml:space="preserve">2.2 매출 세그먼트별 현황 (개인 직접영업 / 대리점·채널 / 기타 세그먼트)</w:t>
      </w:r>
    </w:p>
    <w:p>
      <w:pPr>
        <w:spacing w:after="160" w:line="300"/>
      </w:pPr>
      <w:r>
        <w:rPr>
          <w:rFonts w:ascii="Arial" w:cs="Arial" w:eastAsia="Arial" w:hAnsi="Arial"/>
          <w:sz w:val="21"/>
          <w:szCs w:val="21"/>
        </w:rPr>
        <w:t xml:space="preserve">대시보드는 연간 목표 60억 원을 아래 세 세그먼트로 배분하고 있다(세 세그먼트 목표 합 = 48.7 + 3.1 + 8.2 = 60.0억으로 정확히 일치).</w:t>
      </w: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1900"/>
        <w:gridCol w:w="20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세그먼트</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목표</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실적</w:t>
            </w:r>
          </w:p>
        </w:tc>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달성률</w:t>
            </w:r>
          </w:p>
        </w:tc>
        <w:tc>
          <w:tcPr>
            <w:tcW w:type="dxa" w:w="2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목표 비중</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개인 직접영업</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48.7억</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8.6억</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00000"/>
                <w:sz w:val="20"/>
                <w:szCs w:val="20"/>
              </w:rPr>
              <w:t xml:space="preserve">17.72%</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81.2%</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대리점/채널</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8.2억</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2,924.3만</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00000"/>
                <w:sz w:val="20"/>
                <w:szCs w:val="20"/>
              </w:rPr>
              <w:t xml:space="preserve">3.57%</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13.7%</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세그먼트 C (명칭 미표기)</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3.1억</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369.0만</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00000"/>
                <w:sz w:val="20"/>
                <w:szCs w:val="20"/>
              </w:rPr>
              <w:t xml:space="preserve">1.19%</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5.2%</w:t>
            </w:r>
          </w:p>
        </w:tc>
      </w:tr>
    </w:tbl>
    <w:p>
      <w:pPr>
        <w:spacing w:after="200" w:before="60"/>
      </w:pPr>
      <w:r>
        <w:rPr>
          <w:rFonts w:ascii="Arial" w:cs="Arial" w:eastAsia="Arial" w:hAnsi="Arial"/>
          <w:i/>
          <w:iCs/>
          <w:color w:val="595959"/>
          <w:sz w:val="18"/>
          <w:szCs w:val="18"/>
        </w:rPr>
        <w:t xml:space="preserve">‘세그먼트 C’는 대시보드 상 명칭이 표기되지 않아 담당 채널/책임자를 확정할 수 없음(창고 서비스 단일, 소액 — 내부 확인 필요). 대리점/채널 세그먼트는 서비스 구성상 ‘대리점’ 채널로 명확히 식별됨.</w:t>
      </w:r>
    </w:p>
    <w:p>
      <w:pPr>
        <w:spacing w:after="160" w:line="300"/>
      </w:pPr>
      <w:r>
        <w:rPr>
          <w:rFonts w:ascii="Arial" w:cs="Arial" w:eastAsia="Arial" w:hAnsi="Arial"/>
          <w:sz w:val="21"/>
          <w:szCs w:val="21"/>
        </w:rPr>
        <w:t xml:space="preserve">핵심 관찰: 목표의 81.2%를 차지하는 개인 직접영업 세그먼트가 상대적으로는 가장 높은 달성률(17.72%)을 보인 반면, 목표의 18.9%(대리점 13.7% + 세그먼트 C 5.2%)를 차지하는 두 세그먼트는 각각 3.57%, 1.19%로 사실상 매출이 발생하지 않았다. 전사 실적 8.8억 원 중 약 97.7%가 개인 직접영업에서, 나머지 두 세그먼트는 합쳐서 3.7% 내외만 기여했다.</w:t>
      </w:r>
    </w:p>
    <w:p>
      <w:pPr>
        <w:pStyle w:val="Heading2"/>
      </w:pPr>
      <w:r>
        <w:t xml:space="preserve">2.3 개인별 실적 (개인 직접영업 세그먼트)</w:t>
      </w: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2860"/>
        <w:gridCol w:w="274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담당자</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수주(계약)액</w:t>
            </w:r>
          </w:p>
        </w:tc>
        <w:tc>
          <w:tcPr>
            <w:tcW w:type="dxa" w:w="2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매출(인식) 실적</w:t>
            </w:r>
          </w:p>
        </w:tc>
        <w:tc>
          <w:tcPr>
            <w:tcW w:type="dxa" w:w="27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비고</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Andy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7.7억</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00000"/>
                <w:sz w:val="20"/>
                <w:szCs w:val="20"/>
              </w:rPr>
              <w:t xml:space="preserve">6.7억 (78%)</w:t>
            </w:r>
          </w:p>
        </w:tc>
        <w:tc>
          <w:tcPr>
            <w:tcW w:type="dxa" w:w="27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세그먼트 실적의 대부분 차지</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Reten…(성명 일부 잘림)</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8,587.1만</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1.6억 (19%)</w:t>
            </w:r>
          </w:p>
        </w:tc>
        <w:tc>
          <w:tcPr>
            <w:tcW w:type="dxa" w:w="27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수주보다 매출 인식이 큼(기존 계약 청구 추정)</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Jeymi Choi</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1.6억</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1,869.8만 (2%)</w:t>
            </w:r>
          </w:p>
        </w:tc>
        <w:tc>
          <w:tcPr>
            <w:tcW w:type="dxa" w:w="27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수주 대비 매출 인식 격차 큼</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Selly, Yu</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3,095만</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1,445만 (2%)</w:t>
            </w:r>
          </w:p>
        </w:tc>
        <w:tc>
          <w:tcPr>
            <w:tcW w:type="dxa" w:w="27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Gordon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확인 불가</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220만 (0.3%)</w:t>
            </w:r>
          </w:p>
        </w:tc>
        <w:tc>
          <w:tcPr>
            <w:tcW w:type="dxa" w:w="27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r>
    </w:tbl>
    <w:p>
      <w:pPr>
        <w:spacing w:after="200" w:before="60"/>
      </w:pPr>
      <w:r>
        <w:rPr>
          <w:rFonts w:ascii="Arial" w:cs="Arial" w:eastAsia="Arial" w:hAnsi="Arial"/>
          <w:i/>
          <w:iCs/>
          <w:color w:val="595959"/>
          <w:sz w:val="18"/>
          <w:szCs w:val="18"/>
        </w:rPr>
        <w:t xml:space="preserve">Miles, Kei 담당자는 개인별 실적 차트에 나타나지 않음 — 채널영업(대리점) 또는 세그먼트 C로 집계되었을 가능성이 있으나 대시보드 상 확인 불가.</w:t>
      </w:r>
    </w:p>
    <w:p>
      <w:pPr>
        <w:pStyle w:val="Heading2"/>
      </w:pPr>
      <w:r>
        <w:t xml:space="preserve">2.4 서비스별 매출 현황 (전사)</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600"/>
        <w:gridCol w:w="25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서비스</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매출</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비중</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비고</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창고(Warehouse)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6.4억</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00000"/>
                <w:sz w:val="20"/>
                <w:szCs w:val="20"/>
              </w:rPr>
              <w:t xml:space="preserve">72.7%</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사실상 유일한 매출 동력</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국제운송</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2억</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22.7%</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대리점</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1,822.8만</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2.1%</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차량</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900만</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전담 개발채널 존재하나 매출 미미</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기타</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175만</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0.2%</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r>
    </w:tbl>
    <w:p>
      <w:pPr>
        <w:pStyle w:val="Heading1"/>
      </w:pPr>
      <w:r>
        <w:t xml:space="preserve">3. 원인 분석</w:t>
      </w:r>
    </w:p>
    <w:p>
      <w:pPr>
        <w:pStyle w:val="Heading2"/>
      </w:pPr>
      <w:r>
        <w:t xml:space="preserve">3.1 제품 품질 (Product Quality)</w:t>
      </w:r>
    </w:p>
    <w:p>
      <w:pPr>
        <w:spacing w:after="160" w:line="300"/>
      </w:pPr>
      <w:r>
        <w:rPr>
          <w:rFonts w:ascii="Arial" w:cs="Arial" w:eastAsia="Arial" w:hAnsi="Arial"/>
          <w:sz w:val="21"/>
          <w:szCs w:val="21"/>
        </w:rPr>
        <w:t xml:space="preserve">본 항목은 최근 1주일(7/3~7/10) 관찰 표본에 근거한 것으로, 상반기 전체를 대표하는 통계는 아니다. 다만 짧은 기간에도 아래와 같은 반복적 데이터 신뢰성 이슈가 다수 관측되어, 유사 패턴이 상반기 내내 존재했을 가능성을 배제할 수 없다.</w:t>
      </w:r>
    </w:p>
    <w:p>
      <w:pPr>
        <w:pStyle w:val="ListParagraph"/>
        <w:numPr>
          <w:ilvl w:val="0"/>
          <w:numId w:val="2"/>
        </w:numPr>
        <w:spacing w:after="100" w:line="300"/>
      </w:pPr>
      <w:r>
        <w:rPr>
          <w:rFonts w:ascii="Arial" w:cs="Arial" w:eastAsia="Arial" w:hAnsi="Arial"/>
          <w:sz w:val="21"/>
          <w:szCs w:val="21"/>
        </w:rPr>
        <w:t xml:space="preserve">쉐프스푸드: 컨테이너 디바이스 9대에서 위치정보 누락·수집정보와 운송정보 불일치가 확인됨. 고객이 “기기 하나만 수정된 것인지 전체가 확인된 것인지 불명확”하다고 지적.</w:t>
      </w:r>
    </w:p>
    <w:p>
      <w:pPr>
        <w:pStyle w:val="ListParagraph"/>
        <w:numPr>
          <w:ilvl w:val="0"/>
          <w:numId w:val="2"/>
        </w:numPr>
        <w:spacing w:after="100" w:line="300"/>
      </w:pPr>
      <w:r>
        <w:rPr>
          <w:rFonts w:ascii="Arial" w:cs="Arial" w:eastAsia="Arial" w:hAnsi="Arial"/>
          <w:sz w:val="21"/>
          <w:szCs w:val="21"/>
        </w:rPr>
        <w:t xml:space="preserve">CH로지스틱스: V5C 디바이스 관련 문의가 반복 발생. 윌로그 측은 최근 펌웨어 업데이트를 원인에서 배제한다고 회신했으나 고객사는 추가 작업 진행상황 확인을 요청 중.</w:t>
      </w:r>
    </w:p>
    <w:p>
      <w:pPr>
        <w:pStyle w:val="ListParagraph"/>
        <w:numPr>
          <w:ilvl w:val="0"/>
          <w:numId w:val="2"/>
        </w:numPr>
        <w:spacing w:after="100" w:line="300"/>
      </w:pPr>
      <w:r>
        <w:rPr>
          <w:rFonts w:ascii="Arial" w:cs="Arial" w:eastAsia="Arial" w:hAnsi="Arial"/>
          <w:sz w:val="21"/>
          <w:szCs w:val="21"/>
        </w:rPr>
        <w:t xml:space="preserve">내부 Asana 태스크 “[창고] 데이터 2개 미수신 확인 요청”이 7/3 마감 이후 7일째 미해결 상태로 재알림됨 — 창고 서비스(매출의 72.7%를 차지하는 핵심 서비스)에서 데이터 미수신 이슈가 내부적으로도 장기 방치되고 있음을 시사.</w:t>
      </w:r>
    </w:p>
    <w:p>
      <w:pPr>
        <w:spacing w:after="160" w:line="300"/>
      </w:pPr>
      <w:r>
        <w:rPr>
          <w:rFonts w:ascii="Arial" w:cs="Arial" w:eastAsia="Arial" w:hAnsi="Arial"/>
          <w:sz w:val="21"/>
          <w:szCs w:val="21"/>
        </w:rPr>
        <w:t xml:space="preserve">창고 서비스가 매출의 72.7%를 차지하는 상황에서, 해당 서비스의 데이터 정합성(위치정보, 수집정보) 이슈가 반복되는 것은 단순 개별 사고가 아니라 핵심 매출원의 신뢰도에 직접 영향을 미치는 리스크로 판단된다.</w:t>
      </w:r>
    </w:p>
    <w:p>
      <w:pPr>
        <w:pStyle w:val="Heading2"/>
      </w:pPr>
      <w:r>
        <w:t xml:space="preserve">3.2 고객지원 (Customer Support)</w:t>
      </w:r>
    </w:p>
    <w:p>
      <w:pPr>
        <w:pStyle w:val="ListParagraph"/>
        <w:numPr>
          <w:ilvl w:val="0"/>
          <w:numId w:val="2"/>
        </w:numPr>
        <w:spacing w:after="100" w:line="300"/>
      </w:pPr>
      <w:r>
        <w:rPr>
          <w:rFonts w:ascii="Arial" w:cs="Arial" w:eastAsia="Arial" w:hAnsi="Arial"/>
          <w:sz w:val="21"/>
          <w:szCs w:val="21"/>
        </w:rPr>
        <w:t xml:space="preserve">쉐프스푸드 고객이 “02-6959-0966 전화연결이 어렵다. 긴급 상황에서도 조치를 받을 수 없다”고 명시적으로 불만을 제기함 — 대응 채널의 접근성/응답속도 문제.</w:t>
      </w:r>
    </w:p>
    <w:p>
      <w:pPr>
        <w:pStyle w:val="ListParagraph"/>
        <w:numPr>
          <w:ilvl w:val="0"/>
          <w:numId w:val="2"/>
        </w:numPr>
        <w:spacing w:after="100" w:line="300"/>
      </w:pPr>
      <w:r>
        <w:rPr>
          <w:rFonts w:ascii="Arial" w:cs="Arial" w:eastAsia="Arial" w:hAnsi="Arial"/>
          <w:sz w:val="21"/>
          <w:szCs w:val="21"/>
        </w:rPr>
        <w:t xml:space="preserve">종근당(제조사 성적서 요청 건)에서 CX 담당자가 6/19, 7/6 두 차례에 걸쳐 “답변이 지연되어 죄송합니다”라고 반복 사과 — 동일 유형의 지연이 서로 다른 두 시점에 재발.</w:t>
      </w:r>
    </w:p>
    <w:p>
      <w:pPr>
        <w:pStyle w:val="ListParagraph"/>
        <w:numPr>
          <w:ilvl w:val="0"/>
          <w:numId w:val="2"/>
        </w:numPr>
        <w:spacing w:after="100" w:line="300"/>
      </w:pPr>
      <w:r>
        <w:rPr>
          <w:rFonts w:ascii="Arial" w:cs="Arial" w:eastAsia="Arial" w:hAnsi="Arial"/>
          <w:sz w:val="21"/>
          <w:szCs w:val="21"/>
        </w:rPr>
        <w:t xml:space="preserve">제테마 계약서 검토 건은 7/3부터 7/9까지 고객 측 검토 대기가 이어지고 있어 절대적으로 고객 측 사유이나, 병행하여 CX/영업 인력의 후속 관리(follow-up) 빈도 확인이 필요.</w:t>
      </w:r>
    </w:p>
    <w:p>
      <w:pPr>
        <w:spacing w:after="160" w:line="300"/>
      </w:pPr>
      <w:r>
        <w:rPr>
          <w:rFonts w:ascii="Arial" w:cs="Arial" w:eastAsia="Arial" w:hAnsi="Arial"/>
          <w:sz w:val="21"/>
          <w:szCs w:val="21"/>
        </w:rPr>
        <w:t xml:space="preserve">표본은 작지만, 서로 다른 3개 고객사에서 “응답 지연” 또는 “연결 곤란” 패턴이 독립적으로 관측된 점은 개별 담당자 이슈라기보다 CX 대응 체계(인력 규모, 채널, 프로세스)의 구조적 한계를 시사할 가능성이 있다. 이는 상반기 전체 CS 티켓/응답시간 데이터로 추가 검증이 필요하다.</w:t>
      </w:r>
    </w:p>
    <w:p>
      <w:pPr>
        <w:pStyle w:val="Heading2"/>
      </w:pPr>
      <w:r>
        <w:t xml:space="preserve">3.3 리소스 배분 (Resource Allocation)</w:t>
      </w:r>
    </w:p>
    <w:p>
      <w:pPr>
        <w:pStyle w:val="ListParagraph"/>
        <w:numPr>
          <w:ilvl w:val="0"/>
          <w:numId w:val="2"/>
        </w:numPr>
        <w:spacing w:after="100" w:line="300"/>
      </w:pPr>
      <w:r>
        <w:rPr>
          <w:rFonts w:ascii="Arial" w:cs="Arial" w:eastAsia="Arial" w:hAnsi="Arial"/>
          <w:sz w:val="21"/>
          <w:szCs w:val="21"/>
        </w:rPr>
        <w:t xml:space="preserve">목표의 18.9%(대리점 13.7% + 세그먼트 C 5.2%, 합 11.3억)가 배정된 두 세그먼트의 실적 기여는 전사 매출의 3.7%에 불과함. 두 세그먼트에 투입된 관리 리소스(파트너 지원, 영업 인력) 대비 회수율이 극히 낮아, 목표 설정 자체의 현실성 또는 채널 운영 리소스 배분의 재검토가 필요.</w:t>
      </w:r>
    </w:p>
    <w:p>
      <w:pPr>
        <w:pStyle w:val="ListParagraph"/>
        <w:numPr>
          <w:ilvl w:val="0"/>
          <w:numId w:val="2"/>
        </w:numPr>
        <w:spacing w:after="100" w:line="300"/>
      </w:pPr>
      <w:r>
        <w:rPr>
          <w:rFonts w:ascii="Arial" w:cs="Arial" w:eastAsia="Arial" w:hAnsi="Arial"/>
          <w:sz w:val="21"/>
          <w:szCs w:val="21"/>
        </w:rPr>
        <w:t xml:space="preserve">개인 직접영업 세그먼트 내에서도 매출의 78%가 Andy 1인에게 집중되어 있어, 특정 개인에 대한 매출 의존도가 매우 높음. 해당 인력의 가용성 변화(휴가, 이탈 등) 시 부문 전체 매출에 미치는 영향이 큼.</w:t>
      </w:r>
    </w:p>
    <w:p>
      <w:pPr>
        <w:pStyle w:val="ListParagraph"/>
        <w:numPr>
          <w:ilvl w:val="0"/>
          <w:numId w:val="2"/>
        </w:numPr>
        <w:spacing w:after="100" w:line="300"/>
      </w:pPr>
      <w:r>
        <w:rPr>
          <w:rFonts w:ascii="Arial" w:cs="Arial" w:eastAsia="Arial" w:hAnsi="Arial"/>
          <w:sz w:val="21"/>
          <w:szCs w:val="21"/>
        </w:rPr>
        <w:t xml:space="preserve">서비스 관점에서 창고(72.7%) 외 국제운송(22.7%)을 제외한 대리점·차량·기타 서비스는 합산 3.3%에 불과 — 다각화를 위해 배분된 자원이 매출로 전환되지 못하고 있음.</w:t>
      </w:r>
    </w:p>
    <w:p>
      <w:pPr>
        <w:pStyle w:val="Heading2"/>
      </w:pPr>
      <w:r>
        <w:t xml:space="preserve">3.4 조직 운영 (Organizational Operations)</w:t>
      </w:r>
    </w:p>
    <w:p>
      <w:pPr>
        <w:pStyle w:val="ListParagraph"/>
        <w:numPr>
          <w:ilvl w:val="0"/>
          <w:numId w:val="2"/>
        </w:numPr>
        <w:spacing w:after="100" w:line="300"/>
      </w:pPr>
      <w:r>
        <w:rPr>
          <w:rFonts w:ascii="Arial" w:cs="Arial" w:eastAsia="Arial" w:hAnsi="Arial"/>
          <w:sz w:val="21"/>
          <w:szCs w:val="21"/>
        </w:rPr>
        <w:t xml:space="preserve">상품별 매출 중 “미정” 분류가 5,923.5만 원(전사 매출의 약 6.7%) 존재 — 매출 인식 시 상품 코드/카테고리 매핑이 체계적으로 이뤄지지 않고 있음을 시사하며, 이는 실적 원인 분석과 상품별 채산성 관리를 어렵게 하는 프로세스 공백.</w:t>
      </w:r>
    </w:p>
    <w:p>
      <w:pPr>
        <w:pStyle w:val="ListParagraph"/>
        <w:numPr>
          <w:ilvl w:val="0"/>
          <w:numId w:val="2"/>
        </w:numPr>
        <w:spacing w:after="100" w:line="300"/>
      </w:pPr>
      <w:r>
        <w:rPr>
          <w:rFonts w:ascii="Arial" w:cs="Arial" w:eastAsia="Arial" w:hAnsi="Arial"/>
          <w:sz w:val="21"/>
          <w:szCs w:val="21"/>
        </w:rPr>
        <w:t xml:space="preserve">파이프라인(리드 수 기준)은 가망 72 → 제안 41(-43%) → PoC 19(-54%) → 협상 9(-53%) 순으로 각 단계마다 절반 안팎이 이탈함. 초기 단계(가망→제안) 이탈률이 특히 높아 리드 확인·제안 착수 프로세스 점검이 필요.</w:t>
      </w:r>
    </w:p>
    <w:p>
      <w:pPr>
        <w:pStyle w:val="ListParagraph"/>
        <w:numPr>
          <w:ilvl w:val="0"/>
          <w:numId w:val="2"/>
        </w:numPr>
        <w:spacing w:after="100" w:line="300"/>
      </w:pPr>
      <w:r>
        <w:rPr>
          <w:rFonts w:ascii="Arial" w:cs="Arial" w:eastAsia="Arial" w:hAnsi="Arial"/>
          <w:sz w:val="21"/>
          <w:szCs w:val="21"/>
        </w:rPr>
        <w:t xml:space="preserve">개인별 실적 대시보드에 Miles, Kei 담당자의 실적이 별도로 표기되지 않아, 전체 인력의 성과 가시성 체계에 공백이 있는 것으로 보임(채널영업 담당자의 실적이 개인 단위로 추적되지 않을 가능성).</w:t>
      </w:r>
    </w:p>
    <w:p>
      <w:pPr>
        <w:pStyle w:val="Heading2"/>
      </w:pPr>
      <w:r>
        <w:t xml:space="preserve">3.5 이니셔티브의 다변성 (Initiative Diversification)</w:t>
      </w:r>
    </w:p>
    <w:p>
      <w:pPr>
        <w:spacing w:after="160" w:line="300"/>
      </w:pPr>
      <w:r>
        <w:rPr>
          <w:rFonts w:ascii="Arial" w:cs="Arial" w:eastAsia="Arial" w:hAnsi="Arial"/>
          <w:sz w:val="21"/>
          <w:szCs w:val="21"/>
        </w:rPr>
        <w:t xml:space="preserve">사내 Slack 개발 프로젝트 채널을 확인한 결과, 현재 병행 중인 개발 이니셔티브는 최소 11개로 파악된다: 바이오, core-common, 차량모니터링, 국제운송, v2-renewal, 창고관제, T1-live, 차세대플랫폼, 실시간 단말 프로토콜, 일성신약 실시간바이오, 데이터 인텔리전스.</w:t>
      </w:r>
    </w:p>
    <w:p>
      <w:pPr>
        <w:pStyle w:val="ListParagraph"/>
        <w:numPr>
          <w:ilvl w:val="0"/>
          <w:numId w:val="2"/>
        </w:numPr>
        <w:spacing w:after="100" w:line="300"/>
      </w:pPr>
      <w:r>
        <w:rPr>
          <w:rFonts w:ascii="Arial" w:cs="Arial" w:eastAsia="Arial" w:hAnsi="Arial"/>
          <w:sz w:val="21"/>
          <w:szCs w:val="21"/>
        </w:rPr>
        <w:t xml:space="preserve">이처럼 다수의 서비스·플랫폼 이니셔티브가 동시에 개발 리소스를 투입받고 있으나, 실제 매출로 전환된 서비스는 창고(72.7%)와 국제운송(22.7%) 두 개 뿐이며 나머지(차량모니터링·바이오 등)는 매출 기여가 1% 내외이거나 서비스별 매출 항목에 별도로 잡히지 않음.</w:t>
      </w:r>
    </w:p>
    <w:p>
      <w:pPr>
        <w:pStyle w:val="ListParagraph"/>
        <w:numPr>
          <w:ilvl w:val="0"/>
          <w:numId w:val="2"/>
        </w:numPr>
        <w:spacing w:after="100" w:line="300"/>
      </w:pPr>
      <w:r>
        <w:rPr>
          <w:rFonts w:ascii="Arial" w:cs="Arial" w:eastAsia="Arial" w:hAnsi="Arial"/>
          <w:sz w:val="21"/>
          <w:szCs w:val="21"/>
        </w:rPr>
        <w:t xml:space="preserve">이는 R&amp;D·개발 리소스가 다수 이니셔티브에 분산 투입되는 동안, 이미 매출을 내고 있는 핵심 서비스(창고)의 안정성 강화(3.1절의 데이터 정합성 이슈 등)에는 상대적으로 자원이 집중되지 못했을 가능성을 시사한다.</w:t>
      </w:r>
    </w:p>
    <w:p>
      <w:pPr>
        <w:spacing w:after="200" w:before="60"/>
      </w:pPr>
      <w:r>
        <w:rPr>
          <w:rFonts w:ascii="Arial" w:cs="Arial" w:eastAsia="Arial" w:hAnsi="Arial"/>
          <w:i/>
          <w:iCs/>
          <w:color w:val="595959"/>
          <w:sz w:val="18"/>
          <w:szCs w:val="18"/>
        </w:rPr>
        <w:t xml:space="preserve">이니셔티브별 실제 투입 인력·예산 데이터는 본 세션에서 확인하지 못했으며, 위 서술은 Slack 채널 존재 여부와 매출 대시보드의 서비스별 분류를 교차 확인한 정황 근거에 기반함. 정확한 자원배분 대비 매출전환율 분석을 위해서는 프로젝트별 투입 리소스(인건비/개발기간) 데이터가 추가로 필요함.</w:t>
      </w:r>
    </w:p>
    <w:p>
      <w:pPr>
        <w:pStyle w:val="Heading1"/>
      </w:pPr>
      <w:r>
        <w:t xml:space="preserve">4. 종합 진단 및 권고</w:t>
      </w:r>
    </w:p>
    <w:p>
      <w:pPr>
        <w:spacing w:after="160" w:line="300"/>
      </w:pPr>
      <w:r>
        <w:rPr>
          <w:rFonts w:ascii="Arial" w:cs="Arial" w:eastAsia="Arial" w:hAnsi="Arial"/>
          <w:sz w:val="21"/>
          <w:szCs w:val="21"/>
        </w:rPr>
        <w:t xml:space="preserve">상반기 매출 미달은 단일 원인이 아니라 복수 요인이 결합된 결과로 판단된다. 실적 기여가 개인 직접영업, 그중에서도 1인에게 극단적으로 집중된 반면, 목표의 상당 부분(18.9%)을 차지하는 대리점/채널과 세그먼트 C는 사실상 매출을 만들어내지 못하고 있다. 동시에 매출은 창고 서비스 한 곳에 집중된 반면 회사는 11개 안팎의 개발 이니셔티브를 병행 추진 중이어서, 다변화 시도가 아직 매출 다변화로 이어지지 못하고 있다. 여기에 핵심 매출원인 창고 서비스에서 데이터 정합성 이슈가 반복되고, 서로 다른 고객사에서 독립적으로 CX 응답 지연 불만이 제기된 점은 신규 확보보다 기존 고객 유지 측면에서의 리스크로 이어질 수 있다.</w:t>
      </w:r>
    </w:p>
    <w:p>
      <w:pPr>
        <w:pStyle w:val="Heading2"/>
      </w:pPr>
      <w:r>
        <w:t xml:space="preserve">권고 사항</w:t>
      </w:r>
    </w:p>
    <w:p>
      <w:pPr>
        <w:pStyle w:val="ListParagraph"/>
        <w:numPr>
          <w:ilvl w:val="0"/>
          <w:numId w:val="2"/>
        </w:numPr>
        <w:spacing w:after="100" w:line="300"/>
      </w:pPr>
      <w:r>
        <w:rPr>
          <w:rFonts w:ascii="Arial" w:cs="Arial" w:eastAsia="Arial" w:hAnsi="Arial"/>
          <w:sz w:val="21"/>
          <w:szCs w:val="21"/>
        </w:rPr>
        <w:t xml:space="preserve">대리점/채널 세그먼트(목표 8.2억, 달성 3.57%) 및 세그먼트 C(목표 3.1억, 달성 1.19%)에 대해 하반기 목표의 현실성을 재검토하고, 채널 파트너 운영 체계(인센티브, 지원 리소스, 담당자 지정)를 별도로 점검할 것을 권고.</w:t>
      </w:r>
    </w:p>
    <w:p>
      <w:pPr>
        <w:pStyle w:val="ListParagraph"/>
        <w:numPr>
          <w:ilvl w:val="0"/>
          <w:numId w:val="2"/>
        </w:numPr>
        <w:spacing w:after="100" w:line="300"/>
      </w:pPr>
      <w:r>
        <w:rPr>
          <w:rFonts w:ascii="Arial" w:cs="Arial" w:eastAsia="Arial" w:hAnsi="Arial"/>
          <w:sz w:val="21"/>
          <w:szCs w:val="21"/>
        </w:rPr>
        <w:t xml:space="preserve">창고 서비스의 데이터 정합성(위치정보, 데이터 미수신) 이슈에 대해 개발팀과 공동으로 근본 원인을 점검하고, 매출 비중이 큰 서비스인 만큼 우선순위를 상향할 것을 권고.</w:t>
      </w:r>
    </w:p>
    <w:p>
      <w:pPr>
        <w:pStyle w:val="ListParagraph"/>
        <w:numPr>
          <w:ilvl w:val="0"/>
          <w:numId w:val="2"/>
        </w:numPr>
        <w:spacing w:after="100" w:line="300"/>
      </w:pPr>
      <w:r>
        <w:rPr>
          <w:rFonts w:ascii="Arial" w:cs="Arial" w:eastAsia="Arial" w:hAnsi="Arial"/>
          <w:sz w:val="21"/>
          <w:szCs w:val="21"/>
        </w:rPr>
        <w:t xml:space="preserve">CX 대응 체계(응답 시간, 연락 채널)에 대해 상반기 전체 CS 티켓 데이터를 별도로 취합하여, 본 리포트에서 관측된 응답 지연 패턴이 일시적인지 구조적인지 검증할 것을 권고.</w:t>
      </w:r>
    </w:p>
    <w:p>
      <w:pPr>
        <w:pStyle w:val="ListParagraph"/>
        <w:numPr>
          <w:ilvl w:val="0"/>
          <w:numId w:val="2"/>
        </w:numPr>
        <w:spacing w:after="100" w:line="300"/>
      </w:pPr>
      <w:r>
        <w:rPr>
          <w:rFonts w:ascii="Arial" w:cs="Arial" w:eastAsia="Arial" w:hAnsi="Arial"/>
          <w:sz w:val="21"/>
          <w:szCs w:val="21"/>
        </w:rPr>
        <w:t xml:space="preserve">Andy 1인에 대한 매출 의존도(직접영업 세그먼트의 78%)를 완화하기 위한 파이프라인 배분 및 후속 인력 육성 계획 수립을 권고.</w:t>
      </w:r>
    </w:p>
    <w:p>
      <w:pPr>
        <w:pStyle w:val="ListParagraph"/>
        <w:numPr>
          <w:ilvl w:val="0"/>
          <w:numId w:val="2"/>
        </w:numPr>
        <w:spacing w:after="100" w:line="300"/>
      </w:pPr>
      <w:r>
        <w:rPr>
          <w:rFonts w:ascii="Arial" w:cs="Arial" w:eastAsia="Arial" w:hAnsi="Arial"/>
          <w:sz w:val="21"/>
          <w:szCs w:val="21"/>
        </w:rPr>
        <w:t xml:space="preserve">11개 개발 이니셔티브에 대해 투입 리소스 대비 매출 전환 현황을 정량적으로 점검하고, 우선순위가 낮은 이니셔티브의 자원을 창고·국제운송 등 이미 매출을 창출 중인 서비스로 재배분하는 방안을 검토할 것을 권고.</w:t>
      </w:r>
    </w:p>
    <w:p>
      <w:pPr>
        <w:pStyle w:val="ListParagraph"/>
        <w:numPr>
          <w:ilvl w:val="0"/>
          <w:numId w:val="2"/>
        </w:numPr>
        <w:spacing w:after="100" w:line="300"/>
      </w:pPr>
      <w:r>
        <w:rPr>
          <w:rFonts w:ascii="Arial" w:cs="Arial" w:eastAsia="Arial" w:hAnsi="Arial"/>
          <w:sz w:val="21"/>
          <w:szCs w:val="21"/>
        </w:rPr>
        <w:t xml:space="preserve">상품 매출 중 “미정” 분류(6.7%)에 대한 데이터 정합성 점검 및 상품 코드 매핑 프로세스 개선을 권고.</w:t>
      </w:r>
    </w:p>
    <w:p>
      <w:pPr>
        <w:pStyle w:val="Heading1"/>
      </w:pPr>
      <w:r>
        <w:t xml:space="preserve">부록. 데이터 출처 및 한계</w:t>
      </w:r>
    </w:p>
    <w:p>
      <w:pPr>
        <w:pStyle w:val="ListParagraph"/>
        <w:numPr>
          <w:ilvl w:val="0"/>
          <w:numId w:val="2"/>
        </w:numPr>
        <w:spacing w:after="100" w:line="300"/>
      </w:pPr>
      <w:r>
        <w:rPr>
          <w:rFonts w:ascii="Arial" w:cs="Arial" w:eastAsia="Arial" w:hAnsi="Arial"/>
          <w:sz w:val="21"/>
          <w:szCs w:val="21"/>
        </w:rPr>
        <w:t xml:space="preserve">매출 실적 수치: Willog_Logistics_Sales_Scoreboard.pdf (첨부 파일, 2026-07-10 기준)</w:t>
      </w:r>
    </w:p>
    <w:p>
      <w:pPr>
        <w:pStyle w:val="ListParagraph"/>
        <w:numPr>
          <w:ilvl w:val="0"/>
          <w:numId w:val="2"/>
        </w:numPr>
        <w:spacing w:after="100" w:line="300"/>
      </w:pPr>
      <w:r>
        <w:rPr>
          <w:rFonts w:ascii="Arial" w:cs="Arial" w:eastAsia="Arial" w:hAnsi="Arial"/>
          <w:sz w:val="21"/>
          <w:szCs w:val="21"/>
        </w:rPr>
        <w:t xml:space="preserve">제품 품질·고객지원 관련 근거: 2026-07-10 09:01~15:01(KST) 구간 Gmail·Slack 스캔 결과 — 상반기 전체가 아닌 최근 1주일 표본</w:t>
      </w:r>
    </w:p>
    <w:p>
      <w:pPr>
        <w:pStyle w:val="ListParagraph"/>
        <w:numPr>
          <w:ilvl w:val="0"/>
          <w:numId w:val="2"/>
        </w:numPr>
        <w:spacing w:after="100" w:line="300"/>
      </w:pPr>
      <w:r>
        <w:rPr>
          <w:rFonts w:ascii="Arial" w:cs="Arial" w:eastAsia="Arial" w:hAnsi="Arial"/>
          <w:sz w:val="21"/>
          <w:szCs w:val="21"/>
        </w:rPr>
        <w:t xml:space="preserve">이니셔티브 다변성 근거: Slack 채널 목록(개발-프로젝트-* 등) — 실제 인력/예산 배분 데이터는 미확인</w:t>
      </w:r>
    </w:p>
    <w:p>
      <w:pPr>
        <w:pStyle w:val="ListParagraph"/>
        <w:numPr>
          <w:ilvl w:val="0"/>
          <w:numId w:val="2"/>
        </w:numPr>
        <w:spacing w:after="100" w:line="300"/>
      </w:pPr>
      <w:r>
        <w:rPr>
          <w:rFonts w:ascii="Arial" w:cs="Arial" w:eastAsia="Arial" w:hAnsi="Arial"/>
          <w:sz w:val="21"/>
          <w:szCs w:val="21"/>
        </w:rPr>
        <w:t xml:space="preserve">‘세그먼트 C’ 및 개인별 실적 중 ‘Reten…’ 담당자명은 대시보드 상 표기가 불완전하여 특정하지 못함 — 내부 확인 필요</w:t>
      </w:r>
    </w:p>
    <w:p>
      <w:pPr>
        <w:pStyle w:val="ListParagraph"/>
        <w:numPr>
          <w:ilvl w:val="0"/>
          <w:numId w:val="2"/>
        </w:numPr>
        <w:spacing w:after="100" w:line="300"/>
      </w:pPr>
      <w:r>
        <w:rPr>
          <w:rFonts w:ascii="Arial" w:cs="Arial" w:eastAsia="Arial" w:hAnsi="Arial"/>
          <w:sz w:val="21"/>
          <w:szCs w:val="21"/>
        </w:rPr>
        <w:t xml:space="preserve">페이지 3·4의 파이프라인(금액 기준) 수치가 원본 대시보드에서 서로 동일하게 표기되어 있어(가망 1,740만 / PoC 870만 / 협상 250만 / 성공 2,171.9만), 원본 데이터 자체의 중복 여부를 내부적으로 재확인할 것을 권고</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 </w:t>
    </w:r>
    <w:r>
      <w:rPr>
        <w:color w:val="595959"/>
        <w:sz w:val="16"/>
        <w:szCs w:val="16"/>
      </w:rPr>
      <w:fldChar w:fldCharType="begin"/>
      <w:instrText xml:space="preserve">PAGE</w:instrText>
      <w:fldChar w:fldCharType="separate"/>
      <w:fldChar w:fldCharType="end"/>
    </w:r>
    <w:r>
      <w:rPr>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95959"/>
        <w:sz w:val="16"/>
        <w:szCs w:val="16"/>
      </w:rPr>
      <w:t xml:space="preserve">Willog Logistics · 경영 리포트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8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2026-07-10T06:29:41.148Z</dcterms:created>
  <dcterms:modified xsi:type="dcterms:W3CDTF">2026-07-10T06:29:41.148Z</dcterms:modified>
</cp:coreProperties>
</file>

<file path=docProps/custom.xml><?xml version="1.0" encoding="utf-8"?>
<Properties xmlns="http://schemas.openxmlformats.org/officeDocument/2006/custom-properties" xmlns:vt="http://schemas.openxmlformats.org/officeDocument/2006/docPropsVTypes"/>
</file>