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val="clear" w:color="auto" w:fill="1F3A5F"/>
      </w:pPr>
      <w:r>
        <w:rPr>
          <w:b/>
          <w:color w:val="FFFFFF"/>
        </w:rPr>
        <w:t>섹션 1 · 인프라 비용 진단</w:t>
      </w:r>
    </w:p>
    <w:p>
      <w:r>
        <w:t>POS·점포 인프라 유지보수비의 증가 구조를 점검한다.</w:t>
      </w:r>
    </w:p>
    <w:p>
      <w:pPr>
        <w:shd w:val="clear" w:color="auto" w:fill="1F3A5F"/>
      </w:pPr>
      <w:r>
        <w:rPr>
          <w:b/>
          <w:color w:val="FFFFFF"/>
        </w:rPr>
        <w:t>섹션 2 · 라이선스 최적화</w:t>
      </w:r>
    </w:p>
    <w:p>
      <w:r>
        <w:t>좌석/코어 계약 대비 실제 활성 사용률을 점검한다.</w:t>
      </w:r>
    </w:p>
    <w:p>
      <w:pPr>
        <w:shd w:val="clear" w:color="auto" w:fill="1F3A5F"/>
      </w:pPr>
      <w:r>
        <w:rPr>
          <w:b/>
          <w:color w:val="FFFFFF"/>
        </w:rPr>
        <w:t>섹션 3 · 클라우드 효율</w:t>
      </w:r>
    </w:p>
    <w:p>
      <w:r>
        <w:t>인스턴스 평균 사용률과 오버프로비저닝을 점검한다.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