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BF9B2" w14:textId="77777777" w:rsidR="00C65959" w:rsidRDefault="00000000">
      <w:r>
        <w:rPr>
          <w:b/>
          <w:sz w:val="28"/>
        </w:rPr>
        <w:t>9. IR tradicional frente a IR ágil</w:t>
      </w:r>
    </w:p>
    <w:p w14:paraId="2C06FAFB" w14:textId="77777777" w:rsidR="00C65959" w:rsidRDefault="00000000">
      <w:pPr>
        <w:spacing w:after="160"/>
      </w:pPr>
      <w:r>
        <w:t xml:space="preserve">La comparación entre la Ingeniería de Requisitos (IR) tradicional y la IR ágil se plantea como una decisión de proceso condicionada por el contexto del proyecto. El enfoque tradicional prioriza la especificación formal, la línea base y la trazabilidad; el enfoque ágil privilegia la construcción incremental, el backlog vivo, las historias de usuario y la colaboración continua con </w:t>
      </w:r>
      <w:proofErr w:type="spellStart"/>
      <w:r>
        <w:t>los</w:t>
      </w:r>
      <w:proofErr w:type="spellEnd"/>
      <w:r>
        <w:t xml:space="preserve"> stakeholders.</w:t>
      </w:r>
    </w:p>
    <w:p w14:paraId="41C5C3CE" w14:textId="77777777" w:rsidR="005C2CED" w:rsidRDefault="005C2CED">
      <w:pPr>
        <w:spacing w:after="160"/>
      </w:pPr>
    </w:p>
    <w:p w14:paraId="5ADFD13F" w14:textId="77777777" w:rsidR="00C65959" w:rsidRDefault="00000000">
      <w:pPr>
        <w:spacing w:before="120" w:after="120"/>
      </w:pPr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6. IR tradicional frente a IR ágil según seis dimensiones.</w:t>
      </w:r>
    </w:p>
    <w:p w14:paraId="576B4835" w14:textId="77777777" w:rsidR="00C65959" w:rsidRDefault="00000000">
      <w:pPr>
        <w:spacing w:before="160" w:after="80"/>
      </w:pPr>
      <w:r>
        <w:rPr>
          <w:b/>
          <w:sz w:val="24"/>
        </w:rPr>
        <w:t>Discusión</w:t>
      </w:r>
    </w:p>
    <w:p w14:paraId="49BE0FCA" w14:textId="77777777" w:rsidR="00C65959" w:rsidRDefault="00000000">
      <w:pPr>
        <w:spacing w:after="120"/>
        <w:jc w:val="both"/>
      </w:pPr>
      <w:r>
        <w:t>La elección entre IR tradicional e IR ágil no debe plantearse como cuál enfoque es mejor en términos absolutos, sino como cuál responde mejor a las condiciones del proyecto. La IR ágil resulta especialmente conveniente en proyectos con alta variabilidad de requisitos, plazos cortos y participación constante del cliente, porque permite refinar y repriorizar las necesidades de forma incremental. En cambio, la IR tradicional es más apropiada en proyectos regulados, de misión crítica o con requisitos contractuales estrictos, donde se necesita documentación formal, líneas base y trazabilidad verificable. \cite{Tomaselli2025}\cite{ISO29148-2018} Además, la documentación de requisitos no funcionales puede quedar desatendida en contextos ágiles, por lo que resulta necesario incorporar mecanismos complementarios de trazabilidad. \cite{LohMunKeong2022} Por ello, un esquema híbrido puede ser adecuado cuando se requiere conservar una especificación de alto nivel y una línea base formal, mientras el detalle operativo se administra mediante backlog, historias de usuario y escenarios Gherkin.</w:t>
      </w:r>
    </w:p>
    <w:p w14:paraId="1B709FDD" w14:textId="77777777" w:rsidR="00C65959" w:rsidRDefault="00000000">
      <w:pPr>
        <w:spacing w:before="80"/>
      </w:pPr>
      <w:r>
        <w:rPr>
          <w:i/>
          <w:sz w:val="18"/>
        </w:rPr>
        <w:t>Fuentes reutilizadas del informe: \cite{Tomaselli2025}, \cite{LohMunKeong2022}, \cite{ISO29148-2018}.</w:t>
      </w:r>
    </w:p>
    <w:sectPr w:rsidR="00C65959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7575813">
    <w:abstractNumId w:val="8"/>
  </w:num>
  <w:num w:numId="2" w16cid:durableId="146482355">
    <w:abstractNumId w:val="6"/>
  </w:num>
  <w:num w:numId="3" w16cid:durableId="2018847939">
    <w:abstractNumId w:val="5"/>
  </w:num>
  <w:num w:numId="4" w16cid:durableId="1226067919">
    <w:abstractNumId w:val="4"/>
  </w:num>
  <w:num w:numId="5" w16cid:durableId="408432341">
    <w:abstractNumId w:val="7"/>
  </w:num>
  <w:num w:numId="6" w16cid:durableId="350421314">
    <w:abstractNumId w:val="3"/>
  </w:num>
  <w:num w:numId="7" w16cid:durableId="678778846">
    <w:abstractNumId w:val="2"/>
  </w:num>
  <w:num w:numId="8" w16cid:durableId="1902642197">
    <w:abstractNumId w:val="1"/>
  </w:num>
  <w:num w:numId="9" w16cid:durableId="1550604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CED"/>
    <w:rsid w:val="00AA1D8D"/>
    <w:rsid w:val="00B47730"/>
    <w:rsid w:val="00C65959"/>
    <w:rsid w:val="00CB0664"/>
    <w:rsid w:val="00CF49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09BB64"/>
  <w14:defaultImageDpi w14:val="300"/>
  <w15:docId w15:val="{7AD607A8-0A4D-4B73-BC7E-6D5B6ACD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262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WUISTON DAMIAN CEDEÑO AVILA</cp:lastModifiedBy>
  <cp:revision>3</cp:revision>
  <dcterms:created xsi:type="dcterms:W3CDTF">2013-12-23T23:15:00Z</dcterms:created>
  <dcterms:modified xsi:type="dcterms:W3CDTF">2026-08-09T17:57:00Z</dcterms:modified>
  <cp:category/>
</cp:coreProperties>
</file>