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5CDF" w14:textId="143666FA" w:rsidR="00FC04A7" w:rsidRPr="00E04AF6" w:rsidRDefault="00E04AF6" w:rsidP="00E04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AF6">
        <w:rPr>
          <w:rFonts w:ascii="Times New Roman" w:hAnsi="Times New Roman" w:cs="Times New Roman"/>
          <w:b/>
          <w:bCs/>
          <w:sz w:val="28"/>
          <w:szCs w:val="28"/>
        </w:rPr>
        <w:t>Cuadro Comparativo del Modelo Ágil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4757"/>
        <w:gridCol w:w="4130"/>
      </w:tblGrid>
      <w:tr w:rsidR="00B3295C" w:rsidRPr="00E04AF6" w14:paraId="112EB08D" w14:textId="477A8EAA" w:rsidTr="00EF272E">
        <w:trPr>
          <w:jc w:val="center"/>
        </w:trPr>
        <w:tc>
          <w:tcPr>
            <w:tcW w:w="1569" w:type="dxa"/>
            <w:hideMark/>
          </w:tcPr>
          <w:p w14:paraId="077D5369" w14:textId="77777777" w:rsidR="00B3295C" w:rsidRPr="00E04AF6" w:rsidRDefault="00B3295C" w:rsidP="00EF27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6364" w:type="dxa"/>
            <w:hideMark/>
          </w:tcPr>
          <w:p w14:paraId="6DF592B9" w14:textId="77777777" w:rsidR="00B3295C" w:rsidRPr="00E04AF6" w:rsidRDefault="00B3295C" w:rsidP="00EF27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Modelo Ágil</w:t>
            </w:r>
          </w:p>
        </w:tc>
        <w:tc>
          <w:tcPr>
            <w:tcW w:w="2523" w:type="dxa"/>
          </w:tcPr>
          <w:p w14:paraId="43BFE540" w14:textId="0BD6515D" w:rsidR="00B3295C" w:rsidRPr="00E04AF6" w:rsidRDefault="00B3295C" w:rsidP="00B329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DOI</w:t>
            </w:r>
          </w:p>
        </w:tc>
      </w:tr>
      <w:tr w:rsidR="00B3295C" w:rsidRPr="00E04AF6" w14:paraId="140F82A2" w14:textId="33CAABC1" w:rsidTr="00EF272E">
        <w:trPr>
          <w:jc w:val="center"/>
        </w:trPr>
        <w:tc>
          <w:tcPr>
            <w:tcW w:w="1569" w:type="dxa"/>
            <w:hideMark/>
          </w:tcPr>
          <w:p w14:paraId="4737D9E7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Descripción del modelo</w:t>
            </w:r>
          </w:p>
        </w:tc>
        <w:tc>
          <w:tcPr>
            <w:tcW w:w="6364" w:type="dxa"/>
            <w:hideMark/>
          </w:tcPr>
          <w:p w14:paraId="44AF5F9A" w14:textId="5C941C9C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</w:rPr>
              <w:t xml:space="preserve">El modelo Ágil es una metodología iterativa e incremental enfocada en la entrega continua de software funcional mediante ciclos cortos llamados </w:t>
            </w:r>
            <w:proofErr w:type="spellStart"/>
            <w:r w:rsidRPr="00E04AF6">
              <w:rPr>
                <w:rFonts w:ascii="Times New Roman" w:hAnsi="Times New Roman" w:cs="Times New Roman"/>
              </w:rPr>
              <w:t>sprints</w:t>
            </w:r>
            <w:proofErr w:type="spellEnd"/>
            <w:r w:rsidRPr="00E04AF6">
              <w:rPr>
                <w:rFonts w:ascii="Times New Roman" w:hAnsi="Times New Roman" w:cs="Times New Roman"/>
              </w:rPr>
              <w:t xml:space="preserve">. Promueve la colaboración, la flexibilidad y la mejora continua. </w:t>
            </w:r>
            <w:r>
              <w:rPr>
                <w:rFonts w:ascii="Times New Roman" w:hAnsi="Times New Roman" w:cs="Times New Roman"/>
              </w:rPr>
              <w:t>P</w:t>
            </w:r>
            <w:r w:rsidRPr="00E04AF6">
              <w:rPr>
                <w:rFonts w:ascii="Times New Roman" w:hAnsi="Times New Roman" w:cs="Times New Roman"/>
              </w:rPr>
              <w:t xml:space="preserve">rioriza la adaptación constante antes que seguir un plan rígido. </w:t>
            </w:r>
          </w:p>
        </w:tc>
        <w:tc>
          <w:tcPr>
            <w:tcW w:w="2523" w:type="dxa"/>
          </w:tcPr>
          <w:p w14:paraId="012BED59" w14:textId="284452C0" w:rsidR="00B3295C" w:rsidRPr="00E04AF6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6" w:history="1">
              <w:r w:rsidRPr="00DD2A77">
                <w:rPr>
                  <w:rStyle w:val="Hipervnculo"/>
                  <w:rFonts w:ascii="Times New Roman" w:hAnsi="Times New Roman" w:cs="Times New Roman"/>
                </w:rPr>
                <w:t>https://doi.org/10.1109/tse.2021.3099532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3295C" w:rsidRPr="00E04AF6" w14:paraId="572F0F7D" w14:textId="0D3D27D5" w:rsidTr="00EF272E">
        <w:trPr>
          <w:jc w:val="center"/>
        </w:trPr>
        <w:tc>
          <w:tcPr>
            <w:tcW w:w="1569" w:type="dxa"/>
            <w:hideMark/>
          </w:tcPr>
          <w:p w14:paraId="32134B55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Interacción con el cliente</w:t>
            </w:r>
          </w:p>
        </w:tc>
        <w:tc>
          <w:tcPr>
            <w:tcW w:w="6364" w:type="dxa"/>
            <w:hideMark/>
          </w:tcPr>
          <w:p w14:paraId="293DC47C" w14:textId="391A701A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E04AF6">
              <w:rPr>
                <w:rFonts w:ascii="Times New Roman" w:hAnsi="Times New Roman" w:cs="Times New Roman"/>
              </w:rPr>
              <w:t xml:space="preserve">antiene una interacción continua con el cliente durante todo el desarrollo del proyecto. El usuario participa en reuniones de revisión, validación de funcionalidades y priorización de requisitos. </w:t>
            </w:r>
          </w:p>
        </w:tc>
        <w:tc>
          <w:tcPr>
            <w:tcW w:w="2523" w:type="dxa"/>
          </w:tcPr>
          <w:p w14:paraId="7E2DC834" w14:textId="7EF67190" w:rsidR="00B3295C" w:rsidRPr="00B3295C" w:rsidRDefault="005F6BF7" w:rsidP="00EA6D1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DD2A77">
                <w:rPr>
                  <w:rStyle w:val="Hipervnculo"/>
                  <w:rFonts w:ascii="Times New Roman" w:hAnsi="Times New Roman" w:cs="Times New Roman"/>
                  <w:lang w:val="en-US"/>
                </w:rPr>
                <w:t>https://doi.org/10.1007/s10664-021-10115-0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B3295C" w:rsidRPr="00E04AF6" w14:paraId="0475C3B1" w14:textId="3D667694" w:rsidTr="00EF272E">
        <w:trPr>
          <w:jc w:val="center"/>
        </w:trPr>
        <w:tc>
          <w:tcPr>
            <w:tcW w:w="1569" w:type="dxa"/>
            <w:hideMark/>
          </w:tcPr>
          <w:p w14:paraId="4372198F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Frecuencia de entregas</w:t>
            </w:r>
          </w:p>
        </w:tc>
        <w:tc>
          <w:tcPr>
            <w:tcW w:w="6364" w:type="dxa"/>
            <w:hideMark/>
          </w:tcPr>
          <w:p w14:paraId="0B4B530D" w14:textId="464B70B5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</w:rPr>
              <w:t xml:space="preserve">Las entregas se realizan de forma frecuente y continua, generalmente cada 1 a 4 semanas. Cada sprint produce una versión funcional del sistema que puede ser evaluada por el cliente. </w:t>
            </w:r>
          </w:p>
        </w:tc>
        <w:tc>
          <w:tcPr>
            <w:tcW w:w="2523" w:type="dxa"/>
          </w:tcPr>
          <w:p w14:paraId="1EDFDB6B" w14:textId="16ECFC1B" w:rsidR="00B3295C" w:rsidRPr="00E04AF6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8" w:tgtFrame="_blank" w:history="1">
              <w:r w:rsidRPr="005F6BF7">
                <w:rPr>
                  <w:rStyle w:val="Hipervnculo"/>
                  <w:rFonts w:ascii="Times New Roman" w:hAnsi="Times New Roman" w:cs="Times New Roman"/>
                </w:rPr>
                <w:t>10.32604/cmc.2021.017461</w:t>
              </w:r>
            </w:hyperlink>
          </w:p>
        </w:tc>
      </w:tr>
      <w:tr w:rsidR="00B3295C" w:rsidRPr="00E04AF6" w14:paraId="2DFBA3E5" w14:textId="0CF14E92" w:rsidTr="00EF272E">
        <w:trPr>
          <w:jc w:val="center"/>
        </w:trPr>
        <w:tc>
          <w:tcPr>
            <w:tcW w:w="1569" w:type="dxa"/>
            <w:hideMark/>
          </w:tcPr>
          <w:p w14:paraId="34E12130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Capacidad de adaptación a cambios</w:t>
            </w:r>
          </w:p>
        </w:tc>
        <w:tc>
          <w:tcPr>
            <w:tcW w:w="6364" w:type="dxa"/>
            <w:hideMark/>
          </w:tcPr>
          <w:p w14:paraId="3BC2F7A5" w14:textId="572FB2BC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E04AF6">
              <w:rPr>
                <w:rFonts w:ascii="Times New Roman" w:hAnsi="Times New Roman" w:cs="Times New Roman"/>
              </w:rPr>
              <w:t xml:space="preserve">osee una alta capacidad de adaptación debido a su estructura flexible. Los cambios pueden incorporarse incluso en etapas avanzadas del desarrollo. El backlog y la planificación iterativa permiten reorganizar prioridades rápidamente. </w:t>
            </w:r>
          </w:p>
        </w:tc>
        <w:tc>
          <w:tcPr>
            <w:tcW w:w="2523" w:type="dxa"/>
          </w:tcPr>
          <w:p w14:paraId="20600172" w14:textId="6DFCF9BC" w:rsidR="00B3295C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9" w:history="1">
              <w:r w:rsidRPr="00DD2A77">
                <w:rPr>
                  <w:rStyle w:val="Hipervnculo"/>
                  <w:rFonts w:ascii="Times New Roman" w:hAnsi="Times New Roman" w:cs="Times New Roman"/>
                </w:rPr>
                <w:t>https://doi.org/10.1109/tse.2021.3099532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3295C" w:rsidRPr="00E04AF6" w14:paraId="1D7CE4E4" w14:textId="1E24340E" w:rsidTr="00EF272E">
        <w:trPr>
          <w:jc w:val="center"/>
        </w:trPr>
        <w:tc>
          <w:tcPr>
            <w:tcW w:w="1569" w:type="dxa"/>
            <w:hideMark/>
          </w:tcPr>
          <w:p w14:paraId="29CB4FF9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Tiempo de respuesta ante cambios</w:t>
            </w:r>
          </w:p>
        </w:tc>
        <w:tc>
          <w:tcPr>
            <w:tcW w:w="6364" w:type="dxa"/>
            <w:hideMark/>
          </w:tcPr>
          <w:p w14:paraId="77C7DDBE" w14:textId="5BE8AE1D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</w:rPr>
              <w:t xml:space="preserve">Gracias a los </w:t>
            </w:r>
            <w:proofErr w:type="spellStart"/>
            <w:r w:rsidRPr="00E04AF6">
              <w:rPr>
                <w:rFonts w:ascii="Times New Roman" w:hAnsi="Times New Roman" w:cs="Times New Roman"/>
              </w:rPr>
              <w:t>sprints</w:t>
            </w:r>
            <w:proofErr w:type="spellEnd"/>
            <w:r w:rsidRPr="00E04AF6">
              <w:rPr>
                <w:rFonts w:ascii="Times New Roman" w:hAnsi="Times New Roman" w:cs="Times New Roman"/>
              </w:rPr>
              <w:t xml:space="preserve"> cortos, reuniones diarias y retroalimentación continua, </w:t>
            </w:r>
            <w:r>
              <w:rPr>
                <w:rFonts w:ascii="Times New Roman" w:hAnsi="Times New Roman" w:cs="Times New Roman"/>
              </w:rPr>
              <w:t>Puede</w:t>
            </w:r>
            <w:r w:rsidRPr="00E04AF6">
              <w:rPr>
                <w:rFonts w:ascii="Times New Roman" w:hAnsi="Times New Roman" w:cs="Times New Roman"/>
              </w:rPr>
              <w:t xml:space="preserve"> responder rápidamente ante nuevos requerimientos o problemas. La integración continua y la automatización de pruebas ayudan a implementar modificaciones en menor tiempo. </w:t>
            </w:r>
          </w:p>
        </w:tc>
        <w:tc>
          <w:tcPr>
            <w:tcW w:w="2523" w:type="dxa"/>
          </w:tcPr>
          <w:p w14:paraId="6DEDB50E" w14:textId="1CEBBE47" w:rsidR="00B3295C" w:rsidRPr="00E04AF6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10" w:tgtFrame="_blank" w:history="1">
              <w:r w:rsidRPr="005F6BF7">
                <w:rPr>
                  <w:rStyle w:val="Hipervnculo"/>
                  <w:rFonts w:ascii="Times New Roman" w:hAnsi="Times New Roman" w:cs="Times New Roman"/>
                </w:rPr>
                <w:t>10.32604/cmc.2021.017461</w:t>
              </w:r>
            </w:hyperlink>
          </w:p>
        </w:tc>
      </w:tr>
      <w:tr w:rsidR="00B3295C" w:rsidRPr="00EA6D16" w14:paraId="2D1DE598" w14:textId="5347CE39" w:rsidTr="00EF272E">
        <w:trPr>
          <w:jc w:val="center"/>
        </w:trPr>
        <w:tc>
          <w:tcPr>
            <w:tcW w:w="1569" w:type="dxa"/>
            <w:hideMark/>
          </w:tcPr>
          <w:p w14:paraId="5B65CF4D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Limitaciones del modelo</w:t>
            </w:r>
          </w:p>
        </w:tc>
        <w:tc>
          <w:tcPr>
            <w:tcW w:w="6364" w:type="dxa"/>
            <w:hideMark/>
          </w:tcPr>
          <w:p w14:paraId="6BCE99F5" w14:textId="086C63E2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</w:t>
            </w:r>
            <w:r w:rsidRPr="00E04AF6">
              <w:rPr>
                <w:rFonts w:ascii="Times New Roman" w:hAnsi="Times New Roman" w:cs="Times New Roman"/>
              </w:rPr>
              <w:t xml:space="preserve"> fuertemente de la comunicación continua y del compromiso del cliente. Las interrupciones frecuentes pueden afectar la productividad del equipo. También existen dificultades para estimar costos y tiempos exactos debido a la flexibilidad de requisitos. </w:t>
            </w:r>
          </w:p>
        </w:tc>
        <w:tc>
          <w:tcPr>
            <w:tcW w:w="2523" w:type="dxa"/>
          </w:tcPr>
          <w:p w14:paraId="04BF4F88" w14:textId="68DA2FED" w:rsidR="00B3295C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11" w:history="1">
              <w:r w:rsidRPr="005F6BF7">
                <w:rPr>
                  <w:rStyle w:val="Hipervnculo"/>
                  <w:rFonts w:ascii="Times New Roman" w:hAnsi="Times New Roman" w:cs="Times New Roman"/>
                </w:rPr>
                <w:t>https://doi.org/10.1177/8756972821991365</w:t>
              </w:r>
            </w:hyperlink>
          </w:p>
        </w:tc>
      </w:tr>
      <w:tr w:rsidR="00B3295C" w:rsidRPr="00E04AF6" w14:paraId="5C5258FD" w14:textId="3A5ABA52" w:rsidTr="00EF272E">
        <w:trPr>
          <w:jc w:val="center"/>
        </w:trPr>
        <w:tc>
          <w:tcPr>
            <w:tcW w:w="1569" w:type="dxa"/>
            <w:hideMark/>
          </w:tcPr>
          <w:p w14:paraId="6EFDD640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Proceso de validación y pruebas</w:t>
            </w:r>
          </w:p>
        </w:tc>
        <w:tc>
          <w:tcPr>
            <w:tcW w:w="6364" w:type="dxa"/>
            <w:hideMark/>
          </w:tcPr>
          <w:p w14:paraId="1B1153E2" w14:textId="4140844E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04AF6">
              <w:rPr>
                <w:rFonts w:ascii="Times New Roman" w:hAnsi="Times New Roman" w:cs="Times New Roman"/>
              </w:rPr>
              <w:t xml:space="preserve">ncorpora pruebas continuas durante todo el ciclo de desarrollo. Cada sprint incluye actividades de validación, integración y revisión del software. Se utilizan pruebas unitarias, pruebas funcionales, integración continua y validación directa con el cliente. </w:t>
            </w:r>
          </w:p>
        </w:tc>
        <w:tc>
          <w:tcPr>
            <w:tcW w:w="2523" w:type="dxa"/>
          </w:tcPr>
          <w:p w14:paraId="45AAB22E" w14:textId="2369EB2D" w:rsidR="00B3295C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12" w:history="1">
              <w:r w:rsidRPr="00DD2A77">
                <w:rPr>
                  <w:rStyle w:val="Hipervnculo"/>
                  <w:rFonts w:ascii="Times New Roman" w:hAnsi="Times New Roman" w:cs="Times New Roman"/>
                  <w:lang w:val="en-US"/>
                </w:rPr>
                <w:t>https://doi.org/10.1007/s10664-021-10115-0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B3295C" w:rsidRPr="00E04AF6" w14:paraId="71C05FB9" w14:textId="4082791C" w:rsidTr="00EF272E">
        <w:trPr>
          <w:jc w:val="center"/>
        </w:trPr>
        <w:tc>
          <w:tcPr>
            <w:tcW w:w="1569" w:type="dxa"/>
            <w:hideMark/>
          </w:tcPr>
          <w:p w14:paraId="5E2CC664" w14:textId="77777777" w:rsidR="00B3295C" w:rsidRPr="00E04AF6" w:rsidRDefault="00B3295C" w:rsidP="00E04AF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4AF6">
              <w:rPr>
                <w:rFonts w:ascii="Times New Roman" w:hAnsi="Times New Roman" w:cs="Times New Roman"/>
                <w:b/>
                <w:bCs/>
              </w:rPr>
              <w:t>Tipo de proyectos recomendados</w:t>
            </w:r>
          </w:p>
        </w:tc>
        <w:tc>
          <w:tcPr>
            <w:tcW w:w="6364" w:type="dxa"/>
            <w:hideMark/>
          </w:tcPr>
          <w:p w14:paraId="76C3CB0F" w14:textId="61FFFAD4" w:rsidR="00B3295C" w:rsidRPr="00E04AF6" w:rsidRDefault="00B3295C" w:rsidP="00EA6D16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E04AF6">
              <w:rPr>
                <w:rFonts w:ascii="Times New Roman" w:hAnsi="Times New Roman" w:cs="Times New Roman"/>
              </w:rPr>
              <w:t xml:space="preserve">s recomendado para proyectos dinámicos, innovadores y con cambios frecuentes en requisitos. Es ampliamente utilizado en desarrollo web, aplicaciones móviles, </w:t>
            </w:r>
            <w:r w:rsidR="00715036" w:rsidRPr="00E04AF6">
              <w:rPr>
                <w:rFonts w:ascii="Times New Roman" w:hAnsi="Times New Roman" w:cs="Times New Roman"/>
              </w:rPr>
              <w:t>startups tecnológicos</w:t>
            </w:r>
            <w:r w:rsidRPr="00E04AF6">
              <w:rPr>
                <w:rFonts w:ascii="Times New Roman" w:hAnsi="Times New Roman" w:cs="Times New Roman"/>
              </w:rPr>
              <w:t xml:space="preserve">, plataformas digitales y sistemas centrados en experiencia de usuario. </w:t>
            </w:r>
          </w:p>
        </w:tc>
        <w:tc>
          <w:tcPr>
            <w:tcW w:w="2523" w:type="dxa"/>
          </w:tcPr>
          <w:p w14:paraId="686CFE50" w14:textId="0111665E" w:rsidR="00B3295C" w:rsidRDefault="005F6BF7" w:rsidP="00EA6D16">
            <w:pPr>
              <w:jc w:val="both"/>
              <w:rPr>
                <w:rFonts w:ascii="Times New Roman" w:hAnsi="Times New Roman" w:cs="Times New Roman"/>
              </w:rPr>
            </w:pPr>
            <w:hyperlink r:id="rId13" w:history="1">
              <w:r w:rsidRPr="00DD2A77">
                <w:rPr>
                  <w:rStyle w:val="Hipervnculo"/>
                  <w:rFonts w:ascii="Times New Roman" w:hAnsi="Times New Roman" w:cs="Times New Roman"/>
                </w:rPr>
                <w:t>https://doi.org/10.1016/j.infsof.2021.106718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F8C9CA9" w14:textId="77777777" w:rsidR="00E04AF6" w:rsidRPr="007D1EE6" w:rsidRDefault="00E04AF6" w:rsidP="00E04AF6">
      <w:pPr>
        <w:rPr>
          <w:rFonts w:ascii="Times New Roman" w:hAnsi="Times New Roman" w:cs="Times New Roman"/>
        </w:rPr>
      </w:pPr>
    </w:p>
    <w:sectPr w:rsidR="00E04AF6" w:rsidRPr="007D1EE6" w:rsidSect="00EF27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B0E92"/>
    <w:multiLevelType w:val="multilevel"/>
    <w:tmpl w:val="58B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35844"/>
    <w:multiLevelType w:val="multilevel"/>
    <w:tmpl w:val="C76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560137">
    <w:abstractNumId w:val="0"/>
  </w:num>
  <w:num w:numId="2" w16cid:durableId="19647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E6"/>
    <w:rsid w:val="000210D3"/>
    <w:rsid w:val="00104F57"/>
    <w:rsid w:val="00143A7A"/>
    <w:rsid w:val="00266130"/>
    <w:rsid w:val="002F02B2"/>
    <w:rsid w:val="00564242"/>
    <w:rsid w:val="005D30BC"/>
    <w:rsid w:val="005F6BF7"/>
    <w:rsid w:val="00715036"/>
    <w:rsid w:val="00760984"/>
    <w:rsid w:val="007C29B5"/>
    <w:rsid w:val="007D1EE6"/>
    <w:rsid w:val="007E7B49"/>
    <w:rsid w:val="008575E2"/>
    <w:rsid w:val="00887A9B"/>
    <w:rsid w:val="008A0B43"/>
    <w:rsid w:val="009552A3"/>
    <w:rsid w:val="0097073C"/>
    <w:rsid w:val="00A5128A"/>
    <w:rsid w:val="00B3295C"/>
    <w:rsid w:val="00B34358"/>
    <w:rsid w:val="00B975F2"/>
    <w:rsid w:val="00BD7CF3"/>
    <w:rsid w:val="00DA0DF6"/>
    <w:rsid w:val="00E04AF6"/>
    <w:rsid w:val="00E2019A"/>
    <w:rsid w:val="00EA6D16"/>
    <w:rsid w:val="00ED48BF"/>
    <w:rsid w:val="00EF272E"/>
    <w:rsid w:val="00FC04A7"/>
    <w:rsid w:val="00FC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EBB4"/>
  <w15:chartTrackingRefBased/>
  <w15:docId w15:val="{3C946F2D-E65A-4ECC-B0AE-2042B257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E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E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E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E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E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E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E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EE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04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4A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C0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BD7C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604/cmc.2021.017461" TargetMode="External"/><Relationship Id="rId13" Type="http://schemas.openxmlformats.org/officeDocument/2006/relationships/hyperlink" Target="https://doi.org/10.1016/j.infsof.2021.106718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07/s10664-021-10115-0" TargetMode="External"/><Relationship Id="rId12" Type="http://schemas.openxmlformats.org/officeDocument/2006/relationships/hyperlink" Target="https://doi.org/10.1007/s10664-021-10115-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09/tse.2021.3099532" TargetMode="External"/><Relationship Id="rId11" Type="http://schemas.openxmlformats.org/officeDocument/2006/relationships/hyperlink" Target="https://doi.org/10.1177/875697282199136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32604/cmc.2021.0174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09/tse.2021.309953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59B23C-E02A-4923-9EC9-B6F80DA3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Andy Mendoza</cp:lastModifiedBy>
  <cp:revision>3</cp:revision>
  <dcterms:created xsi:type="dcterms:W3CDTF">2026-05-17T16:26:00Z</dcterms:created>
  <dcterms:modified xsi:type="dcterms:W3CDTF">2026-05-17T21:37:00Z</dcterms:modified>
</cp:coreProperties>
</file>