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c14a463a6caa52f314b94a230fc3ebf0170bccb"/>
    <w:p>
      <w:pPr>
        <w:pStyle w:val="Heading1"/>
      </w:pPr>
      <w:r>
        <w:rPr>
          <w:rStyle w:val="SectionNumber"/>
        </w:rPr>
        <w:t xml:space="preserve">1</w:t>
      </w:r>
      <w:r>
        <w:tab/>
      </w:r>
      <w:r>
        <w:t xml:space="preserve">Concepto de actor en un diagrama de casos de uso</w:t>
      </w:r>
    </w:p>
    <w:p>
      <w:pPr>
        <w:pStyle w:val="FirstParagraph"/>
      </w:pPr>
      <w:r>
        <w:t xml:space="preserve">En un sistema o diagrama de caso de uso, un actor representa una entidad externa que interactúa con el sistema para lograr un objetivo. Esta entidad puede ser una persona, otro sistema, un dispositivo, un sensor o cualquier elemento externo que se comunique con el sistema. El diagrama de caso de uso muestra cómo el sistema interactúa con su entorno, y ese entorno se representa mediante actores</w:t>
      </w:r>
      <w:r>
        <w:t xml:space="preserve">(Aquino et al. 2020)</w:t>
      </w:r>
      <w:r>
        <w:t xml:space="preserve">.</w:t>
      </w:r>
      <w:r>
        <w:t xml:space="preserve"> </w:t>
      </w:r>
      <w:r>
        <w:t xml:space="preserve">El actor no forma parte interna del sistema, sino que se ubica fuera del límite del sistema. Su función principal es iniciar, participar o recibir resultados de uno o varios casos de uso. Los actores y los casos de uso son propiedades esenciales de un diagrama de caso de uso, lo que confirma que el actor es uno de sus componentes principales</w:t>
      </w:r>
      <w:r>
        <w:t xml:space="preserve">(Fauzan et al. 2021)</w:t>
      </w:r>
      <w:r>
        <w:t xml:space="preserve">.</w:t>
      </w:r>
    </w:p>
    <w:bookmarkEnd w:id="9"/>
    <w:bookmarkStart w:id="10" w:name="caso-de-uso"/>
    <w:p>
      <w:pPr>
        <w:pStyle w:val="Heading1"/>
      </w:pPr>
      <w:r>
        <w:rPr>
          <w:rStyle w:val="SectionNumber"/>
        </w:rPr>
        <w:t xml:space="preserve">2</w:t>
      </w:r>
      <w:r>
        <w:tab/>
      </w:r>
      <w:r>
        <w:t xml:space="preserve">Caso de uso</w:t>
      </w:r>
    </w:p>
    <w:p>
      <w:pPr>
        <w:pStyle w:val="FirstParagraph"/>
      </w:pPr>
      <w:r>
        <w:t xml:space="preserve">Un caso de uso describe una función, servicio o comportamiento que el sistema ofrece a sus actores. En el diagrama, normalmente se representa con un óvalo que contiene el nombre de la funcionalidad. Los óvalos representan los casos de uso y contienen los nombres de las funciones o servicios que serán ofrecidos por el sistema</w:t>
      </w:r>
      <w:r>
        <w:t xml:space="preserve">(Aquino et al. 2020)</w:t>
      </w:r>
      <w:r>
        <w:t xml:space="preserve">.</w:t>
      </w:r>
      <w:r>
        <w:t xml:space="preserve"> </w:t>
      </w:r>
      <w:r>
        <w:t xml:space="preserve">Desde la perspectiva de requisitos, el caso de uso sirve para representar funcionalidades del software y ayuda a comprender cómo debe comportarse el sistema. El diagrama de caso de uso describe los requisitos funcionales del software y permite entender cómo debería funcionar el sistema</w:t>
      </w:r>
      <w:r>
        <w:t xml:space="preserve">(Fauzan et al. 2021)</w:t>
      </w:r>
      <w:r>
        <w:t xml:space="preserve">.</w:t>
      </w:r>
    </w:p>
    <w:bookmarkEnd w:id="10"/>
    <w:bookmarkStart w:id="11" w:name="relación-include"/>
    <w:p>
      <w:pPr>
        <w:pStyle w:val="Heading1"/>
      </w:pPr>
      <w:r>
        <w:rPr>
          <w:rStyle w:val="SectionNumber"/>
        </w:rPr>
        <w:t xml:space="preserve">3</w:t>
      </w:r>
      <w:r>
        <w:tab/>
      </w:r>
      <w:r>
        <w:t xml:space="preserve">Relación Include</w:t>
      </w:r>
    </w:p>
    <w:p>
      <w:pPr>
        <w:pStyle w:val="FirstParagraph"/>
      </w:pPr>
      <w:r>
        <w:t xml:space="preserve">La relación include se utiliza cuando un caso de uso necesita incorporar obligatoriamente el comportamiento de otro caso de uso. Es decir, el caso de uso incluido forma parte del flujo normal del caso de uso principal. Esta relación ayuda a reutilizar funcionalidades comunes y evita repetir el mismo comportamiento en varios casos de uso. Aquino et al. Una relación include indica que un caso de uso demanda o requiere ejecutar otro comportamiento; en su ejemplo, una computación requiere adquirir valores desde sensores</w:t>
      </w:r>
      <w:r>
        <w:t xml:space="preserve">(Aquino et al. 2020)</w:t>
      </w:r>
      <w:r>
        <w:t xml:space="preserve">.</w:t>
      </w:r>
      <w:r>
        <w:t xml:space="preserve"> </w:t>
      </w:r>
      <w:r>
        <w:t xml:space="preserve">Un caso de uso puede incluir otro caso de uso, lo que significa que este se activa en un punto determinado y luego el control regresa al caso de uso que lo incluyó</w:t>
      </w:r>
      <w:r>
        <w:t xml:space="preserve">(Vranić et al. 2024)</w:t>
      </w:r>
      <w:r>
        <w:t xml:space="preserve">.</w:t>
      </w:r>
    </w:p>
    <w:bookmarkEnd w:id="11"/>
    <w:bookmarkStart w:id="21" w:name="relación-extend"/>
    <w:p>
      <w:pPr>
        <w:pStyle w:val="Heading1"/>
      </w:pPr>
      <w:r>
        <w:rPr>
          <w:rStyle w:val="SectionNumber"/>
        </w:rPr>
        <w:t xml:space="preserve">4</w:t>
      </w:r>
      <w:r>
        <w:tab/>
      </w:r>
      <w:r>
        <w:t xml:space="preserve">Relación Extend</w:t>
      </w:r>
    </w:p>
    <w:p>
      <w:pPr>
        <w:pStyle w:val="FirstParagraph"/>
      </w:pPr>
      <w:r>
        <w:t xml:space="preserve">La relación extend se utiliza cuando un caso de uso agrega comportamiento adicional, opcional o condicionado a otro caso de uso base. A diferencia de include, el comportamiento extendido no siempre ocurre; solo se ejecuta si se cumple una condición específica. Una relación extend permite que ciertos comportamientos sean opcionales dentro de otro caso de uso</w:t>
      </w:r>
      <w:r>
        <w:t xml:space="preserve">(Aquino et al. 2020)</w:t>
      </w:r>
      <w:r>
        <w:t xml:space="preserve">.</w:t>
      </w:r>
      <w:r>
        <w:t xml:space="preserve"> </w:t>
      </w:r>
      <w:r>
        <w:t xml:space="preserve">Algunos casos de uso están destinados a extender o alterar otros casos de uso, de forma similar a los flujos alternativos; estos se activan en puntos de extensión determinados</w:t>
      </w:r>
      <w:r>
        <w:t xml:space="preserve">(Vranić et al. 2024)</w:t>
      </w:r>
      <w:r>
        <w:t xml:space="preserve">,</w:t>
      </w:r>
      <w:r>
        <w:t xml:space="preserve">(Iqbal et al. 2020)</w:t>
      </w:r>
      <w:r>
        <w:t xml:space="preserve">.</w:t>
      </w:r>
    </w:p>
    <w:bookmarkStart w:id="20" w:name="refs"/>
    <w:bookmarkStart w:id="13" w:name="ref-aquino2020methodological"/>
    <w:p>
      <w:pPr>
        <w:pStyle w:val="Bibliography"/>
      </w:pPr>
      <w:r>
        <w:t xml:space="preserve">Aquino, Erika Rizzo, Pierre de Saqui-Sannes, and Rob A. Vingerhoeds. 2020.</w:t>
      </w:r>
      <w:r>
        <w:t xml:space="preserve"> </w:t>
      </w:r>
      <w:r>
        <w:t xml:space="preserve">“A Methodological Assistant for Use Case Diagrams.”</w:t>
      </w:r>
      <w:r>
        <w:t xml:space="preserve"> </w:t>
      </w:r>
      <w:r>
        <w:rPr>
          <w:i/>
          <w:iCs/>
        </w:rPr>
        <w:t xml:space="preserve">Proceedings of the 8th International Conference on Model-Driven Engineering and Software Development (MODELSWARD)</w:t>
      </w:r>
      <w:r>
        <w:t xml:space="preserve">, 227–36.</w:t>
      </w:r>
      <w:r>
        <w:t xml:space="preserve"> </w:t>
      </w:r>
      <w:hyperlink r:id="rId12">
        <w:r>
          <w:rPr>
            <w:rStyle w:val="Hyperlink"/>
          </w:rPr>
          <w:t xml:space="preserve">https://doi.org/10.5220/0008938002270236</w:t>
        </w:r>
      </w:hyperlink>
      <w:r>
        <w:t xml:space="preserve">.</w:t>
      </w:r>
    </w:p>
    <w:bookmarkEnd w:id="13"/>
    <w:bookmarkStart w:id="15" w:name="ref-fauzan2021different"/>
    <w:p>
      <w:pPr>
        <w:pStyle w:val="Bibliography"/>
      </w:pPr>
      <w:r>
        <w:t xml:space="preserve">Fauzan, Reza, Daniel Siahaan, Siti Rochimah, and Evi Triandini. 2021.</w:t>
      </w:r>
      <w:r>
        <w:t xml:space="preserve"> </w:t>
      </w:r>
      <w:r>
        <w:t xml:space="preserve">“A Different Approach on Automated Use Case Diagram Semantic Assessment.”</w:t>
      </w:r>
      <w:r>
        <w:t xml:space="preserve"> </w:t>
      </w:r>
      <w:r>
        <w:rPr>
          <w:i/>
          <w:iCs/>
        </w:rPr>
        <w:t xml:space="preserve">International Journal of Intelligent Engineering and Systems</w:t>
      </w:r>
      <w:r>
        <w:t xml:space="preserve"> </w:t>
      </w:r>
      <w:r>
        <w:t xml:space="preserve">14 (1): 496–505.</w:t>
      </w:r>
      <w:r>
        <w:t xml:space="preserve"> </w:t>
      </w:r>
      <w:hyperlink r:id="rId14">
        <w:r>
          <w:rPr>
            <w:rStyle w:val="Hyperlink"/>
          </w:rPr>
          <w:t xml:space="preserve">https://doi.org/10.22266/IJIES2021.0228.46</w:t>
        </w:r>
      </w:hyperlink>
      <w:r>
        <w:t xml:space="preserve">.</w:t>
      </w:r>
    </w:p>
    <w:bookmarkEnd w:id="15"/>
    <w:bookmarkStart w:id="17" w:name="ref-iqbal2020extending"/>
    <w:p>
      <w:pPr>
        <w:pStyle w:val="Bibliography"/>
      </w:pPr>
      <w:r>
        <w:t xml:space="preserve">Iqbal, Saqib, Issam Al-Azzoni, Gary Allen, and Hikmat Ullah Khan. 2020.</w:t>
      </w:r>
      <w:r>
        <w:t xml:space="preserve"> </w:t>
      </w:r>
      <w:r>
        <w:t xml:space="preserve">“Extending UML Use Case Diagrams to Represent Non-Interactive Functional Requirements.”</w:t>
      </w:r>
      <w:r>
        <w:t xml:space="preserve"> </w:t>
      </w:r>
      <w:r>
        <w:rPr>
          <w:i/>
          <w:iCs/>
        </w:rPr>
        <w:t xml:space="preserve">E-Informatica Software Engineering Journal</w:t>
      </w:r>
      <w:r>
        <w:t xml:space="preserve"> </w:t>
      </w:r>
      <w:r>
        <w:t xml:space="preserve">14 (1): 97–115.</w:t>
      </w:r>
      <w:r>
        <w:t xml:space="preserve"> </w:t>
      </w:r>
      <w:hyperlink r:id="rId16">
        <w:r>
          <w:rPr>
            <w:rStyle w:val="Hyperlink"/>
          </w:rPr>
          <w:t xml:space="preserve">https://doi.org/10.37190/e-Inf200104</w:t>
        </w:r>
      </w:hyperlink>
      <w:r>
        <w:t xml:space="preserve">.</w:t>
      </w:r>
    </w:p>
    <w:bookmarkEnd w:id="17"/>
    <w:bookmarkStart w:id="19" w:name="ref-vranic2024use"/>
    <w:p>
      <w:pPr>
        <w:pStyle w:val="Bibliography"/>
      </w:pPr>
      <w:r>
        <w:t xml:space="preserve">Vranić, Valentino, Ján Lang, Martín López Nores, José Juan Pazos Arias, Jaime Solano, and Guillermo Laseca. 2024.</w:t>
      </w:r>
      <w:r>
        <w:t xml:space="preserve"> </w:t>
      </w:r>
      <w:r>
        <w:t xml:space="preserve">“Use Case Modeling in a Research Setting of Developing an Innovative Pilgrimage Support System.”</w:t>
      </w:r>
      <w:r>
        <w:t xml:space="preserve"> </w:t>
      </w:r>
      <w:r>
        <w:rPr>
          <w:i/>
          <w:iCs/>
        </w:rPr>
        <w:t xml:space="preserve">Universal Access in the Information Society</w:t>
      </w:r>
      <w:r>
        <w:t xml:space="preserve"> </w:t>
      </w:r>
      <w:r>
        <w:t xml:space="preserve">23 (4): 1543–60.</w:t>
      </w:r>
      <w:r>
        <w:t xml:space="preserve"> </w:t>
      </w:r>
      <w:hyperlink r:id="rId18">
        <w:r>
          <w:rPr>
            <w:rStyle w:val="Hyperlink"/>
          </w:rPr>
          <w:t xml:space="preserve">https://doi.org/10.1007/s10209-023-01047-1</w:t>
        </w:r>
      </w:hyperlink>
      <w:r>
        <w:t xml:space="preserve">.</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doi.org/10.1007/s10209-023-01047-1" TargetMode="External" /><Relationship Type="http://schemas.openxmlformats.org/officeDocument/2006/relationships/hyperlink" Id="rId14" Target="https://doi.org/10.22266/IJIES2021.0228.46" TargetMode="External" /><Relationship Type="http://schemas.openxmlformats.org/officeDocument/2006/relationships/hyperlink" Id="rId16" Target="https://doi.org/10.37190/e-Inf200104" TargetMode="External" /><Relationship Type="http://schemas.openxmlformats.org/officeDocument/2006/relationships/hyperlink" Id="rId12" Target="https://doi.org/10.5220/0008938002270236" TargetMode="External" /></Relationships>
</file>

<file path=word/_rels/footnotes.xml.rels><?xml version="1.0" encoding="UTF-8"?><Relationships xmlns="http://schemas.openxmlformats.org/package/2006/relationships"><Relationship Type="http://schemas.openxmlformats.org/officeDocument/2006/relationships/hyperlink" Id="rId18" Target="https://doi.org/10.1007/s10209-023-01047-1" TargetMode="External" /><Relationship Type="http://schemas.openxmlformats.org/officeDocument/2006/relationships/hyperlink" Id="rId14" Target="https://doi.org/10.22266/IJIES2021.0228.46" TargetMode="External" /><Relationship Type="http://schemas.openxmlformats.org/officeDocument/2006/relationships/hyperlink" Id="rId16" Target="https://doi.org/10.37190/e-Inf200104" TargetMode="External" /><Relationship Type="http://schemas.openxmlformats.org/officeDocument/2006/relationships/hyperlink" Id="rId12" Target="https://doi.org/10.5220/000893800227023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2026-06-14T01:41:11Z</dcterms:created>
  <dcterms:modified xsi:type="dcterms:W3CDTF">2026-06-14T01:41:11Z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