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ind/>
        <w:rPr/>
      </w:pPr>
      <w:r>
        <w:rPr>
          <w:rFonts w:ascii="Calibri" w:hAnsi="Calibri" w:eastAsia="Calibri" w:cs="Calibri"/>
          <w:b/>
          <w:bCs/>
          <w:color w:val="595959"/>
          <w:spacing w:val="40"/>
          <w:sz w:val="20"/>
          <w:szCs w:val="20"/>
        </w:rPr>
        <w:t xml:space="preserve">DOCUMENT 1 OF 2 · PROJECT ARCHITECTURE DOCUMENT</w:t>
      </w:r>
      <w:r/>
    </w:p>
    <w:p>
      <w:pPr>
        <w:pBdr>
          <w:bottom w:val="single" w:color="1f3864" w:sz="12" w:space="10"/>
        </w:pBdr>
        <w:spacing w:after="160" w:line="252" w:lineRule="auto"/>
        <w:ind/>
        <w:rPr/>
      </w:pPr>
      <w:r>
        <w:rPr>
          <w:rFonts w:ascii="Calibri" w:hAnsi="Calibri" w:eastAsia="Calibri" w:cs="Calibri"/>
          <w:b/>
          <w:bCs/>
          <w:color w:val="1f3864"/>
          <w:sz w:val="52"/>
          <w:szCs w:val="52"/>
        </w:rPr>
        <w:t xml:space="preserve">Explainable Multimodal Early-Warning System for Supply-Chain Disruptions</w:t>
      </w:r>
      <w:r/>
    </w:p>
    <w:p>
      <w:pPr>
        <w:pBdr/>
        <w:spacing w:after="320" w:before="0" w:line="288" w:lineRule="auto"/>
        <w:ind/>
        <w:rPr/>
      </w:pPr>
      <w:r>
        <w:rPr>
          <w:rFonts w:ascii="Calibri" w:hAnsi="Calibri" w:eastAsia="Calibri" w:cs="Calibri"/>
          <w:color w:val="595959"/>
          <w:sz w:val="24"/>
          <w:szCs w:val="24"/>
        </w:rPr>
        <w:t xml:space="preserve">General overall project: the integrated five-person system, its work division and the team paper.</w:t>
      </w:r>
      <w:r/>
    </w:p>
    <w:p>
      <w:pPr>
        <w:pStyle w:val="761"/>
        <w:keepNext w:val="true"/>
        <w:pBdr/>
        <w:spacing w:after="100" w:before="240"/>
        <w:ind/>
        <w:rPr/>
      </w:pPr>
      <w:r>
        <w:rPr>
          <w:rFonts w:ascii="Calibri" w:hAnsi="Calibri" w:eastAsia="Calibri" w:cs="Calibri"/>
          <w:b/>
          <w:bCs/>
          <w:color w:val="1f3864"/>
          <w:sz w:val="25"/>
          <w:szCs w:val="25"/>
        </w:rPr>
        <w:t xml:space="preserve">Document map</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7226"/>
      </w:tblGrid>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bCs/>
                <w:sz w:val="19"/>
                <w:szCs w:val="19"/>
              </w:rPr>
              <w:t xml:space="preserve">Sections 1–4</w:t>
            </w:r>
            <w:r/>
          </w:p>
          <w:p>
            <w:pPr>
              <w:pBdr/>
              <w:spacing w:after="40" w:line="260" w:lineRule="auto"/>
              <w:ind/>
              <w:rPr/>
            </w:pPr>
            <w:r>
              <w:rPr>
                <w:rFonts w:ascii="Calibri" w:hAnsi="Calibri" w:eastAsia="Calibri" w:cs="Calibri"/>
                <w:b/>
                <w:bCs/>
                <w:sz w:val="19"/>
                <w:szCs w:val="19"/>
              </w:rPr>
              <w:t xml:space="preserve">Project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226" w:type="dxa"/>
            <w:vAlign w:val="top"/>
          </w:tcPr>
          <w:p>
            <w:pPr>
              <w:pBdr/>
              <w:spacing w:after="40" w:line="260" w:lineRule="auto"/>
              <w:ind/>
              <w:rPr/>
            </w:pPr>
            <w:r>
              <w:rPr>
                <w:rFonts w:ascii="Calibri" w:hAnsi="Calibri" w:eastAsia="Calibri" w:cs="Calibri"/>
                <w:b w:val="0"/>
                <w:bCs w:val="0"/>
                <w:sz w:val="19"/>
                <w:szCs w:val="19"/>
              </w:rPr>
              <w:t xml:space="preserve">Project objective, overall system architecture, five-person work division, library-based integration architecture.</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bCs/>
                <w:sz w:val="19"/>
                <w:szCs w:val="19"/>
              </w:rPr>
              <w:t xml:space="preserve">Sections 5–8</w:t>
            </w:r>
            <w:r/>
          </w:p>
          <w:p>
            <w:pPr>
              <w:pBdr/>
              <w:spacing w:after="40" w:line="260" w:lineRule="auto"/>
              <w:ind/>
              <w:rPr/>
            </w:pPr>
            <w:r>
              <w:rPr>
                <w:rFonts w:ascii="Calibri" w:hAnsi="Calibri" w:eastAsia="Calibri" w:cs="Calibri"/>
                <w:b/>
                <w:bCs/>
                <w:sz w:val="19"/>
                <w:szCs w:val="19"/>
              </w:rPr>
              <w:t xml:space="preserve">Delivery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226" w:type="dxa"/>
            <w:vAlign w:val="top"/>
          </w:tcPr>
          <w:p>
            <w:pPr>
              <w:pBdr/>
              <w:spacing w:after="40" w:line="260" w:lineRule="auto"/>
              <w:ind/>
              <w:rPr/>
            </w:pPr>
            <w:r>
              <w:rPr>
                <w:rFonts w:ascii="Calibri" w:hAnsi="Calibri" w:eastAsia="Calibri" w:cs="Calibri"/>
                <w:b w:val="0"/>
                <w:bCs w:val="0"/>
                <w:sz w:val="19"/>
                <w:szCs w:val="19"/>
              </w:rPr>
              <w:t xml:space="preserve">Publication plan for the team paper (Paper 1), contribution mapping, final end-to-end architecture, risks and open decisions.</w:t>
            </w:r>
            <w:r/>
          </w:p>
        </w:tc>
      </w:tr>
      <w:tr>
        <w:trPr>
          <w:cantSplit/>
        </w:trPr>
        <w:tc>
          <w:tcPr>
            <w:shd w:val="clear" w:color="auto" w:fill="f2f2f2"/>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bCs/>
                <w:sz w:val="19"/>
                <w:szCs w:val="19"/>
              </w:rPr>
              <w:t xml:space="preserve">Companion</w:t>
            </w:r>
            <w:r/>
          </w:p>
          <w:p>
            <w:pPr>
              <w:pBdr/>
              <w:spacing w:after="40" w:line="260" w:lineRule="auto"/>
              <w:ind/>
              <w:rPr/>
            </w:pPr>
            <w:r>
              <w:rPr>
                <w:rFonts w:ascii="Calibri" w:hAnsi="Calibri" w:eastAsia="Calibri" w:cs="Calibri"/>
                <w:b/>
                <w:bCs/>
                <w:sz w:val="19"/>
                <w:szCs w:val="19"/>
              </w:rPr>
              <w:t xml:space="preserve">Document 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226" w:type="dxa"/>
            <w:vAlign w:val="top"/>
          </w:tcPr>
          <w:p>
            <w:pPr>
              <w:pBdr/>
              <w:spacing w:after="40" w:line="260" w:lineRule="auto"/>
              <w:ind/>
              <w:rPr/>
            </w:pPr>
            <w:r>
              <w:rPr>
                <w:rFonts w:ascii="Calibri" w:hAnsi="Calibri" w:eastAsia="Calibri" w:cs="Calibri"/>
                <w:b w:val="0"/>
                <w:bCs w:val="0"/>
                <w:i/>
                <w:iCs/>
                <w:sz w:val="19"/>
                <w:szCs w:val="19"/>
              </w:rPr>
              <w:t xml:space="preserve">Individual Research Contribution</w:t>
            </w:r>
            <w:r>
              <w:rPr>
                <w:rFonts w:ascii="Calibri" w:hAnsi="Calibri" w:eastAsia="Calibri" w:cs="Calibri"/>
                <w:b w:val="0"/>
                <w:bCs w:val="0"/>
                <w:sz w:val="19"/>
                <w:szCs w:val="19"/>
              </w:rPr>
              <w:t xml:space="preserve">: the deeper research contribution of Person </w:t>
            </w:r>
            <w:r>
              <w:rPr>
                <w:rFonts w:ascii="Calibri" w:hAnsi="Calibri" w:eastAsia="Calibri" w:cs="Calibri"/>
                <w:b w:val="0"/>
                <w:bCs w:val="0"/>
                <w:sz w:val="19"/>
                <w:szCs w:val="19"/>
                <w:lang w:val="en-GB"/>
              </w:rPr>
              <w:t xml:space="preserve">1-</w:t>
            </w:r>
            <w:r>
              <w:rPr>
                <w:rFonts w:ascii="Calibri" w:hAnsi="Calibri" w:eastAsia="Calibri" w:cs="Calibri"/>
                <w:b w:val="0"/>
                <w:bCs w:val="0"/>
                <w:sz w:val="19"/>
                <w:szCs w:val="19"/>
              </w:rPr>
              <w:t xml:space="preserve">5 and the basis of Paper </w:t>
            </w:r>
            <w:r>
              <w:rPr>
                <w:rFonts w:ascii="Calibri" w:hAnsi="Calibri" w:eastAsia="Calibri" w:cs="Calibri"/>
                <w:b w:val="0"/>
                <w:bCs w:val="0"/>
                <w:sz w:val="19"/>
                <w:szCs w:val="19"/>
                <w:lang w:val="en-GB"/>
              </w:rPr>
              <w:t xml:space="preserve">1</w:t>
            </w:r>
            <w:r>
              <w:rPr>
                <w:rFonts w:ascii="Calibri" w:hAnsi="Calibri" w:eastAsia="Calibri" w:cs="Calibri"/>
                <w:b w:val="0"/>
                <w:bCs w:val="0"/>
                <w:sz w:val="19"/>
                <w:szCs w:val="19"/>
              </w:rPr>
              <w:t xml:space="preserve">.</w:t>
            </w:r>
            <w:r/>
          </w:p>
        </w:tc>
      </w:tr>
    </w:tbl>
    <w:p>
      <w:pPr>
        <w:pBdr/>
        <w:spacing w:after="2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cantSplit/>
        </w:trPr>
        <w:tc>
          <w:tcPr>
            <w:shd w:val="clear" w:color="auto" w:fill="e8edf6"/>
            <w:tcBorders>
              <w:top w:val="single" w:color="e8edf6" w:sz="4" w:space="0"/>
              <w:left w:val="single" w:color="1f3864" w:sz="24" w:space="0"/>
              <w:bottom w:val="single" w:color="e8edf6" w:sz="4" w:space="0"/>
              <w:right w:val="single" w:color="e8edf6" w:sz="4" w:space="0"/>
            </w:tcBorders>
            <w:tcMar>
              <w:left w:w="200" w:type="dxa"/>
              <w:top w:w="110" w:type="dxa"/>
              <w:right w:w="160" w:type="dxa"/>
              <w:bottom w:w="90" w:type="dxa"/>
            </w:tcMar>
            <w:tcW w:w="9026" w:type="dxa"/>
          </w:tcPr>
          <w:p>
            <w:pPr>
              <w:pBdr/>
              <w:spacing w:after="60"/>
              <w:ind/>
              <w:rPr/>
            </w:pPr>
            <w:r>
              <w:rPr>
                <w:rFonts w:ascii="Calibri" w:hAnsi="Calibri" w:eastAsia="Calibri" w:cs="Calibri"/>
                <w:b/>
                <w:bCs/>
                <w:color w:val="1f3864"/>
                <w:sz w:val="20"/>
                <w:szCs w:val="20"/>
              </w:rPr>
              <w:t xml:space="preserve">Status of this document</w:t>
            </w:r>
            <w:r/>
          </w:p>
          <w:p>
            <w:pPr>
              <w:pBdr/>
              <w:spacing w:after="40" w:line="260" w:lineRule="auto"/>
              <w:ind/>
              <w:rPr/>
            </w:pPr>
            <w:r>
              <w:rPr>
                <w:rFonts w:ascii="Calibri" w:hAnsi="Calibri" w:eastAsia="Calibri" w:cs="Calibri"/>
                <w:sz w:val="19"/>
                <w:szCs w:val="19"/>
              </w:rPr>
              <w:t xml:space="preserve">This is a planning and architecture document. It contains </w:t>
            </w:r>
            <w:r>
              <w:rPr>
                <w:rFonts w:ascii="Calibri" w:hAnsi="Calibri" w:eastAsia="Calibri" w:cs="Calibri"/>
                <w:b/>
                <w:bCs/>
                <w:sz w:val="19"/>
                <w:szCs w:val="19"/>
              </w:rPr>
              <w:t xml:space="preserve">no experimental results, no dataset claims and no accuracy figures</w:t>
            </w:r>
            <w:r>
              <w:rPr>
                <w:rFonts w:ascii="Calibri" w:hAnsi="Calibri" w:eastAsia="Calibri" w:cs="Calibri"/>
                <w:sz w:val="19"/>
                <w:szCs w:val="19"/>
              </w:rPr>
              <w:t xml:space="preserve">. All numbers shown in examples are illustrative placeholders and are labelled as such.</w:t>
            </w:r>
            <w:r/>
          </w:p>
          <w:p>
            <w:pPr>
              <w:pBdr/>
              <w:spacing w:after="40" w:line="260" w:lineRule="auto"/>
              <w:ind/>
              <w:rPr/>
            </w:pPr>
            <w:r>
              <w:rPr>
                <w:rFonts w:ascii="Calibri" w:hAnsi="Calibri" w:eastAsia="Calibri" w:cs="Calibri"/>
                <w:sz w:val="19"/>
                <w:szCs w:val="19"/>
              </w:rPr>
              <w:t xml:space="preserve">Publication quality depends on actual novelty, experimental rigour, datasets, baselines, results and the requirements of the chosen journal or conference. Nothing here guarantees acceptance or impact.</w:t>
            </w:r>
            <w:r/>
          </w:p>
        </w:tc>
      </w:tr>
    </w:tbl>
    <w:p>
      <w:pPr>
        <w:pBdr/>
        <w:spacing w:after="160"/>
        <w:ind/>
        <w:rPr/>
      </w:pPr>
      <w:r/>
      <w:r/>
    </w:p>
    <w:p>
      <w:pPr>
        <w:pBdr/>
        <w:spacing w:after="120" w:before="0" w:line="288" w:lineRule="auto"/>
        <w:ind/>
        <w:rPr/>
      </w:pPr>
      <w:r>
        <w:rPr>
          <w:rFonts w:ascii="Calibri" w:hAnsi="Calibri" w:eastAsia="Calibri" w:cs="Calibri"/>
          <w:color w:val="595959"/>
          <w:sz w:val="19"/>
          <w:szCs w:val="19"/>
        </w:rPr>
        <w:t xml:space="preserve">Draft v1.0 · October 2026</w:t>
      </w:r>
      <w:r/>
    </w:p>
    <w:p>
      <w:pPr>
        <w:pBdr/>
        <w:spacing/>
        <w:ind/>
        <w:rPr/>
        <w:sectPr>
          <w:footerReference w:type="default" r:id="rId10"/>
          <w:footnotePr/>
          <w:endnotePr/>
          <w:type w:val="nextPage"/>
          <w:pgSz w:h="16838" w:orient="portrait" w:w="11906"/>
          <w:pgMar w:top="1300" w:right="1440" w:bottom="1200" w:left="1440" w:header="708" w:footer="708" w:gutter="0"/>
          <w:cols w:num="1" w:sep="0" w:space="1701" w:equalWidth="1"/>
        </w:sect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1f3864"/>
            <w:tcBorders>
              <w:top w:val="single" w:color="1f3864" w:sz="4" w:space="0"/>
              <w:left w:val="single" w:color="1f3864" w:sz="4" w:space="0"/>
              <w:bottom w:val="single" w:color="1f3864" w:sz="4" w:space="0"/>
              <w:right w:val="single" w:color="1f3864" w:sz="4" w:space="0"/>
            </w:tcBorders>
            <w:tcMar>
              <w:left w:w="280" w:type="dxa"/>
              <w:top w:w="220" w:type="dxa"/>
              <w:right w:w="280" w:type="dxa"/>
              <w:bottom w:w="220" w:type="dxa"/>
            </w:tcMar>
            <w:tcW w:w="9026" w:type="dxa"/>
          </w:tcPr>
          <w:p>
            <w:pPr>
              <w:pBdr/>
              <w:spacing w:after="60"/>
              <w:ind/>
              <w:rPr/>
            </w:pPr>
            <w:r>
              <w:rPr>
                <w:rFonts w:ascii="Calibri" w:hAnsi="Calibri" w:eastAsia="Calibri" w:cs="Calibri"/>
                <w:b/>
                <w:bCs/>
                <w:color w:val="ffffff"/>
                <w:sz w:val="38"/>
                <w:szCs w:val="38"/>
              </w:rPr>
              <w:t xml:space="preserve">PART 1 — GENERAL OVERALL PROJECT</w:t>
            </w:r>
            <w:r/>
          </w:p>
          <w:p>
            <w:pPr>
              <w:pBdr/>
              <w:spacing w:after="0"/>
              <w:ind/>
              <w:rPr/>
            </w:pPr>
            <w:r>
              <w:rPr>
                <w:rFonts w:ascii="Calibri" w:hAnsi="Calibri" w:eastAsia="Calibri" w:cs="Calibri"/>
                <w:b w:val="0"/>
                <w:bCs w:val="0"/>
                <w:color w:val="e6e6e6"/>
                <w:sz w:val="21"/>
                <w:szCs w:val="21"/>
              </w:rPr>
              <w:t xml:space="preserve">Integrated project developed collaboratively by all five members</w:t>
            </w:r>
            <w:r/>
          </w:p>
        </w:tc>
      </w:tr>
    </w:tbl>
    <w:p>
      <w:pPr>
        <w:pBdr/>
        <w:spacing w:after="60"/>
        <w:ind/>
        <w:rPr/>
      </w:pPr>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1. Project Objective</w:t>
      </w:r>
      <w:r/>
    </w:p>
    <w:p>
      <w:pPr>
        <w:pBdr/>
        <w:spacing w:after="120" w:before="0" w:line="288" w:lineRule="auto"/>
        <w:ind/>
        <w:rPr/>
      </w:pPr>
      <w:r>
        <w:rPr>
          <w:rFonts w:ascii="Calibri" w:hAnsi="Calibri" w:eastAsia="Calibri" w:cs="Calibri"/>
          <w:sz w:val="21"/>
          <w:szCs w:val="21"/>
        </w:rPr>
        <w:t xml:space="preserve">The system aims to </w:t>
      </w:r>
      <w:r>
        <w:rPr>
          <w:rFonts w:ascii="Calibri" w:hAnsi="Calibri" w:eastAsia="Calibri" w:cs="Calibri"/>
          <w:b/>
          <w:bCs/>
          <w:sz w:val="21"/>
          <w:szCs w:val="21"/>
        </w:rPr>
        <w:t xml:space="preserve">detect and predict potential supply-chain disruptions before they become severe</w:t>
      </w:r>
      <w:r>
        <w:rPr>
          <w:rFonts w:ascii="Calibri" w:hAnsi="Calibri" w:eastAsia="Calibri" w:cs="Calibri"/>
          <w:sz w:val="21"/>
          <w:szCs w:val="21"/>
        </w:rPr>
        <w:t xml:space="preserve">. A single data source rarely gives a reliable early signal: delays appear first in logistics records, warnings in news, and causes in weather or geopolitical events. The project combines these heterogeneous modalities into one early-warning pipeline.</w:t>
      </w:r>
      <w:r/>
    </w:p>
    <w:p>
      <w:pPr>
        <w:pStyle w:val="762"/>
        <w:keepNext w:val="true"/>
        <w:pBdr/>
        <w:spacing w:after="80" w:before="180"/>
        <w:ind/>
        <w:rPr/>
      </w:pPr>
      <w:r>
        <w:rPr>
          <w:rFonts w:ascii="Calibri" w:hAnsi="Calibri" w:eastAsia="Calibri" w:cs="Calibri"/>
          <w:b/>
          <w:bCs/>
          <w:color w:val="1f3864"/>
          <w:sz w:val="22"/>
          <w:szCs w:val="22"/>
        </w:rPr>
        <w:t xml:space="preserve">Data modalities to be integrated</w:t>
      </w:r>
      <w:r/>
    </w:p>
    <w:p>
      <w:pPr>
        <w:pStyle w:val="752"/>
        <w:numPr>
          <w:ilvl w:val="0"/>
          <w:numId w:val="2"/>
        </w:numPr>
        <w:pBdr/>
        <w:spacing w:after="60" w:line="276" w:lineRule="auto"/>
        <w:ind/>
        <w:rPr/>
      </w:pPr>
      <w:r>
        <w:rPr>
          <w:rFonts w:ascii="Calibri" w:hAnsi="Calibri" w:eastAsia="Calibri" w:cs="Calibri"/>
          <w:b/>
          <w:bCs/>
          <w:sz w:val="21"/>
          <w:szCs w:val="21"/>
        </w:rPr>
        <w:t xml:space="preserve">Structured supply-chain data:</w:t>
      </w:r>
      <w:r>
        <w:rPr>
          <w:rFonts w:ascii="Calibri" w:hAnsi="Calibri" w:eastAsia="Calibri" w:cs="Calibri"/>
          <w:sz w:val="21"/>
          <w:szCs w:val="21"/>
        </w:rPr>
        <w:t xml:space="preserve"> orders, inventory, supplier and lead-time records.</w:t>
      </w:r>
      <w:r/>
    </w:p>
    <w:p>
      <w:pPr>
        <w:pStyle w:val="752"/>
        <w:numPr>
          <w:ilvl w:val="0"/>
          <w:numId w:val="2"/>
        </w:numPr>
        <w:pBdr/>
        <w:spacing w:after="60" w:line="276" w:lineRule="auto"/>
        <w:ind/>
        <w:rPr/>
      </w:pPr>
      <w:r>
        <w:rPr>
          <w:rFonts w:ascii="Calibri" w:hAnsi="Calibri" w:eastAsia="Calibri" w:cs="Calibri"/>
          <w:b/>
          <w:bCs/>
          <w:sz w:val="21"/>
          <w:szCs w:val="21"/>
        </w:rPr>
        <w:t xml:space="preserve">Historical / time-series data:</w:t>
      </w:r>
      <w:r>
        <w:rPr>
          <w:rFonts w:ascii="Calibri" w:hAnsi="Calibri" w:eastAsia="Calibri" w:cs="Calibri"/>
          <w:sz w:val="21"/>
          <w:szCs w:val="21"/>
        </w:rPr>
        <w:t xml:space="preserve"> demand, delivery times, prices, congestion indicators.</w:t>
      </w:r>
      <w:r/>
    </w:p>
    <w:p>
      <w:pPr>
        <w:pStyle w:val="752"/>
        <w:numPr>
          <w:ilvl w:val="0"/>
          <w:numId w:val="2"/>
        </w:numPr>
        <w:pBdr/>
        <w:spacing w:after="60" w:line="276" w:lineRule="auto"/>
        <w:ind/>
        <w:rPr/>
      </w:pPr>
      <w:r>
        <w:rPr>
          <w:rFonts w:ascii="Calibri" w:hAnsi="Calibri" w:eastAsia="Calibri" w:cs="Calibri"/>
          <w:b/>
          <w:bCs/>
          <w:sz w:val="21"/>
          <w:szCs w:val="21"/>
        </w:rPr>
        <w:t xml:space="preserve">News and textual information:</w:t>
      </w:r>
      <w:r>
        <w:rPr>
          <w:rFonts w:ascii="Calibri" w:hAnsi="Calibri" w:eastAsia="Calibri" w:cs="Calibri"/>
          <w:sz w:val="21"/>
          <w:szCs w:val="21"/>
        </w:rPr>
        <w:t xml:space="preserve"> reports on strikes, port closures, supplier incidents, policy changes.</w:t>
      </w:r>
      <w:r/>
    </w:p>
    <w:p>
      <w:pPr>
        <w:pStyle w:val="752"/>
        <w:numPr>
          <w:ilvl w:val="0"/>
          <w:numId w:val="2"/>
        </w:numPr>
        <w:pBdr/>
        <w:spacing w:after="60" w:line="276" w:lineRule="auto"/>
        <w:ind/>
        <w:rPr/>
      </w:pPr>
      <w:r>
        <w:rPr>
          <w:rFonts w:ascii="Calibri" w:hAnsi="Calibri" w:eastAsia="Calibri" w:cs="Calibri"/>
          <w:b/>
          <w:bCs/>
          <w:sz w:val="21"/>
          <w:szCs w:val="21"/>
        </w:rPr>
        <w:t xml:space="preserve">Weather and environmental events:</w:t>
      </w:r>
      <w:r>
        <w:rPr>
          <w:rFonts w:ascii="Calibri" w:hAnsi="Calibri" w:eastAsia="Calibri" w:cs="Calibri"/>
          <w:sz w:val="21"/>
          <w:szCs w:val="21"/>
        </w:rPr>
        <w:t xml:space="preserve"> storms, floods, earthquakes and other natural hazards.</w:t>
      </w:r>
      <w:r/>
    </w:p>
    <w:p>
      <w:pPr>
        <w:pStyle w:val="752"/>
        <w:numPr>
          <w:ilvl w:val="0"/>
          <w:numId w:val="2"/>
        </w:numPr>
        <w:pBdr/>
        <w:spacing w:after="60" w:line="276" w:lineRule="auto"/>
        <w:ind/>
        <w:rPr/>
      </w:pPr>
      <w:r>
        <w:rPr>
          <w:rFonts w:ascii="Calibri" w:hAnsi="Calibri" w:eastAsia="Calibri" w:cs="Calibri"/>
          <w:b/>
          <w:bCs/>
          <w:sz w:val="21"/>
          <w:szCs w:val="21"/>
        </w:rPr>
        <w:t xml:space="preserve">Geopolitical / external events:</w:t>
      </w:r>
      <w:r>
        <w:rPr>
          <w:rFonts w:ascii="Calibri" w:hAnsi="Calibri" w:eastAsia="Calibri" w:cs="Calibri"/>
          <w:sz w:val="21"/>
          <w:szCs w:val="21"/>
        </w:rPr>
        <w:t xml:space="preserve"> sanctions, conflict, trade restrictions, infrastructure failures.</w:t>
      </w:r>
      <w:r/>
    </w:p>
    <w:p>
      <w:pPr>
        <w:pStyle w:val="752"/>
        <w:numPr>
          <w:ilvl w:val="0"/>
          <w:numId w:val="2"/>
        </w:numPr>
        <w:pBdr/>
        <w:spacing w:after="60" w:line="276" w:lineRule="auto"/>
        <w:ind/>
        <w:rPr/>
      </w:pPr>
      <w:r>
        <w:rPr>
          <w:rFonts w:ascii="Calibri" w:hAnsi="Calibri" w:eastAsia="Calibri" w:cs="Calibri"/>
          <w:b/>
          <w:bCs/>
          <w:sz w:val="21"/>
          <w:szCs w:val="21"/>
        </w:rPr>
        <w:t xml:space="preserve">Logistics / transportation information:</w:t>
      </w:r>
      <w:r>
        <w:rPr>
          <w:rFonts w:ascii="Calibri" w:hAnsi="Calibri" w:eastAsia="Calibri" w:cs="Calibri"/>
          <w:sz w:val="21"/>
          <w:szCs w:val="21"/>
        </w:rPr>
        <w:t xml:space="preserve"> shipment status, routes, port and carrier information.</w:t>
      </w:r>
      <w:r/>
    </w:p>
    <w:p>
      <w:pPr>
        <w:pStyle w:val="762"/>
        <w:keepNext w:val="true"/>
        <w:pBdr/>
        <w:spacing w:after="80" w:before="180"/>
        <w:ind/>
        <w:rPr/>
      </w:pPr>
      <w:r>
        <w:rPr>
          <w:rFonts w:ascii="Calibri" w:hAnsi="Calibri" w:eastAsia="Calibri" w:cs="Calibri"/>
          <w:b/>
          <w:bCs/>
          <w:color w:val="1f3864"/>
          <w:sz w:val="22"/>
          <w:szCs w:val="22"/>
        </w:rPr>
        <w:t xml:space="preserve">Outputs of the final system</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426"/>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color w:val="ffffff"/>
                <w:sz w:val="19"/>
                <w:szCs w:val="19"/>
              </w:rPr>
              <w:t xml:space="preserve">Output</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bCs/>
                <w:color w:val="ffffff"/>
                <w:sz w:val="19"/>
                <w:szCs w:val="19"/>
              </w:rPr>
              <w:t xml:space="preserve">Description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Disruption probability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Estimated likelihood that a disruption occurs for a supplier, route or node within the prediction horizon.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Risk level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Discretised category (for example low / medium / high) derived from probability and thresholds defined by the team.</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Possible disruption type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Class of disruption, such as transport delay, supplier failure, weather or geopolitical disruption.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Expected disruption horizon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Estimated time window in which the disruption is expected to materialise.</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Major contributing factors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Ranked factors from structured, text and event modalities that drive the warning.</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Explainable warning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Human-readable explanation linked to evidence, with a confidence indication.</w:t>
            </w:r>
            <w:r/>
          </w:p>
        </w:tc>
      </w:tr>
    </w:tbl>
    <w:p>
      <w:pPr>
        <w:pBdr/>
        <w:spacing/>
        <w:ind/>
        <w:rPr/>
      </w:pPr>
      <w:r>
        <w:br w:type="page" w:clear="all"/>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2. Overall System Architecture</w:t>
      </w:r>
      <w:r/>
    </w:p>
    <w:p>
      <w:pPr>
        <w:pBdr/>
        <w:spacing w:after="120" w:before="0" w:line="288" w:lineRule="auto"/>
        <w:ind/>
        <w:rPr/>
      </w:pPr>
      <w:r>
        <w:rPr>
          <w:rFonts w:ascii="Calibri" w:hAnsi="Calibri" w:eastAsia="Calibri" w:cs="Calibri"/>
          <w:sz w:val="21"/>
          <w:szCs w:val="21"/>
        </w:rPr>
        <w:t xml:space="preserve">The pipeline moves from raw data sources through four modality-specific branches into a shared multimodal fusion model, and ends in an explainable alert. Figure 1 shows the full flow. Each stage has a named owner so that responsibility is unambiguous.</w:t>
      </w:r>
      <w:r/>
    </w:p>
    <w:p>
      <w:pPr>
        <w:keepNext w:val="true"/>
        <w:pBdr/>
        <w:spacing w:after="40" w:before="60"/>
        <w:ind/>
        <w:jc w:val="center"/>
        <w:rPr/>
      </w:pPr>
      <w:r>
        <mc:AlternateContent>
          <mc:Choice Requires="wpg">
            <w:drawing>
              <wp:inline xmlns:wp="http://schemas.openxmlformats.org/drawingml/2006/wordprocessingDrawing" distT="0" distB="0" distL="0" distR="0">
                <wp:extent cx="3810000" cy="4981575"/>
                <wp:effectExtent l="0" t="0" r="0" b="0"/>
                <wp:docPr id="1" name="diagram1.png" descr="Architecture diagram" titl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810000" cy="498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0.00pt;height:392.25pt;mso-wrap-distance-left:0.00pt;mso-wrap-distance-top:0.00pt;mso-wrap-distance-right:0.00pt;mso-wrap-distance-bottom:0.00pt;z-index:1;" stroked="false">
                <v:imagedata r:id="rId12" o:title=""/>
                <o:lock v:ext="edit" rotation="t"/>
              </v:shape>
            </w:pict>
          </mc:Fallback>
        </mc:AlternateContent>
      </w:r>
      <w:r/>
    </w:p>
    <w:p>
      <w:pPr>
        <w:pBdr/>
        <w:spacing w:after="200" w:before="60"/>
        <w:ind/>
        <w:jc w:val="center"/>
        <w:rPr/>
      </w:pPr>
      <w:r>
        <w:rPr>
          <w:rFonts w:ascii="Calibri" w:hAnsi="Calibri" w:eastAsia="Calibri" w:cs="Calibri"/>
          <w:i/>
          <w:iCs/>
          <w:color w:val="595959"/>
          <w:sz w:val="18"/>
          <w:szCs w:val="18"/>
        </w:rPr>
        <w:t xml:space="preserve">Figure 1. Overall system architecture (Part 1). Colours indicate the owning team member.</w:t>
      </w:r>
      <w:r/>
    </w:p>
    <w:p>
      <w:pPr>
        <w:pStyle w:val="761"/>
        <w:keepNext w:val="true"/>
        <w:pBdr/>
        <w:spacing w:after="100" w:before="240"/>
        <w:ind/>
        <w:rPr/>
      </w:pPr>
      <w:r>
        <w:rPr>
          <w:rFonts w:ascii="Calibri" w:hAnsi="Calibri" w:eastAsia="Calibri" w:cs="Calibri"/>
          <w:b/>
          <w:bCs/>
          <w:color w:val="1f3864"/>
          <w:sz w:val="25"/>
          <w:szCs w:val="25"/>
        </w:rPr>
        <w:t xml:space="preserve">2.1 Stage overview</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4726"/>
        <w:gridCol w:w="1800"/>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color w:val="ffffff"/>
                <w:sz w:val="19"/>
                <w:szCs w:val="19"/>
              </w:rPr>
              <w:t xml:space="preserve">Stage</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bCs/>
                <w:color w:val="ffffff"/>
                <w:sz w:val="19"/>
                <w:szCs w:val="19"/>
              </w:rPr>
              <w:t xml:space="preserve">Purpose</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bCs/>
                <w:color w:val="ffffff"/>
                <w:sz w:val="19"/>
                <w:szCs w:val="19"/>
              </w:rPr>
              <w:t xml:space="preserve">Primary owner</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Data sources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Heterogeneous raw inputs: structured, time-series, text, external-event and logistics data.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Each module owner for their own sources</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Data processing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Cleaning, normalisation, entity / location / time indexing inside each 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Persons 1, 2, 3</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Modality-specific feature extraction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Four branches turn raw data into modality-specific features and risk indicators.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Persons 1, 2, 3</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Multimodal feature alignment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Align features to a common entity, time window and schema.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 4</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Multimodal fusion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Combine aligned modality features into a joint representation.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 4</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Early-warning prediction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Disruption probability, risk level, type and horizon.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 4</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Explainability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Attribution and evidence for why the warning was raised.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 5</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Uncertainty / confidence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Estimate how reliable the prediction is.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 5</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Early-warning alert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Combine risk level, confidence and explanation into one alert.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Persons 4 and 5</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500" w:type="dxa"/>
            <w:vAlign w:val="top"/>
          </w:tcPr>
          <w:p>
            <w:pPr>
              <w:pBdr/>
              <w:spacing w:after="40" w:line="260" w:lineRule="auto"/>
              <w:ind/>
              <w:rPr/>
            </w:pPr>
            <w:r>
              <w:rPr>
                <w:rFonts w:ascii="Calibri" w:hAnsi="Calibri" w:eastAsia="Calibri" w:cs="Calibri"/>
                <w:b/>
                <w:bCs/>
                <w:sz w:val="19"/>
                <w:szCs w:val="19"/>
              </w:rPr>
              <w:t xml:space="preserve">Dashboard / report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4726" w:type="dxa"/>
            <w:vAlign w:val="top"/>
          </w:tcPr>
          <w:p>
            <w:pPr>
              <w:pBdr/>
              <w:spacing w:after="40" w:line="260" w:lineRule="auto"/>
              <w:ind/>
              <w:rPr/>
            </w:pPr>
            <w:r>
              <w:rPr>
                <w:rFonts w:ascii="Calibri" w:hAnsi="Calibri" w:eastAsia="Calibri" w:cs="Calibri"/>
                <w:b w:val="0"/>
                <w:bCs w:val="0"/>
                <w:sz w:val="19"/>
                <w:szCs w:val="19"/>
              </w:rPr>
              <w:t xml:space="preserve">Thin presentation layer that renders library outputs.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800" w:type="dxa"/>
            <w:vAlign w:val="top"/>
          </w:tcPr>
          <w:p>
            <w:pPr>
              <w:pBdr/>
              <w:spacing w:after="40" w:line="260" w:lineRule="auto"/>
              <w:ind/>
              <w:rPr/>
            </w:pPr>
            <w:r>
              <w:rPr>
                <w:rFonts w:ascii="Calibri" w:hAnsi="Calibri" w:eastAsia="Calibri" w:cs="Calibri"/>
                <w:b w:val="0"/>
                <w:bCs w:val="0"/>
                <w:sz w:val="19"/>
                <w:szCs w:val="19"/>
              </w:rPr>
              <w:t xml:space="preserve">Shared (integration)</w:t>
            </w:r>
            <w:r/>
          </w:p>
        </w:tc>
      </w:tr>
    </w:tbl>
    <w:p>
      <w:pPr>
        <w:pStyle w:val="761"/>
        <w:keepNext w:val="true"/>
        <w:pBdr/>
        <w:spacing w:after="100" w:before="240"/>
        <w:ind/>
        <w:rPr/>
      </w:pPr>
      <w:r>
        <w:rPr>
          <w:rFonts w:ascii="Calibri" w:hAnsi="Calibri" w:eastAsia="Calibri" w:cs="Calibri"/>
          <w:b/>
          <w:bCs/>
          <w:color w:val="1f3864"/>
          <w:sz w:val="25"/>
          <w:szCs w:val="25"/>
        </w:rPr>
        <w:t xml:space="preserve">2.2 Modality-specific branches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326"/>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700" w:type="dxa"/>
            <w:vAlign w:val="top"/>
          </w:tcPr>
          <w:p>
            <w:pPr>
              <w:pBdr/>
              <w:spacing w:after="40" w:line="260" w:lineRule="auto"/>
              <w:ind/>
              <w:rPr/>
            </w:pPr>
            <w:r>
              <w:rPr>
                <w:rFonts w:ascii="Calibri" w:hAnsi="Calibri" w:eastAsia="Calibri" w:cs="Calibri"/>
                <w:b/>
                <w:bCs/>
                <w:color w:val="ffffff"/>
                <w:sz w:val="19"/>
                <w:szCs w:val="19"/>
              </w:rPr>
              <w:t xml:space="preserve">Branch</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6326" w:type="dxa"/>
            <w:vAlign w:val="top"/>
          </w:tcPr>
          <w:p>
            <w:pPr>
              <w:pBdr/>
              <w:spacing w:after="40" w:line="260" w:lineRule="auto"/>
              <w:ind/>
              <w:rPr/>
            </w:pPr>
            <w:r>
              <w:rPr>
                <w:rFonts w:ascii="Calibri" w:hAnsi="Calibri" w:eastAsia="Calibri" w:cs="Calibri"/>
                <w:b/>
                <w:bCs/>
                <w:color w:val="ffffff"/>
                <w:sz w:val="19"/>
                <w:szCs w:val="19"/>
              </w:rPr>
              <w:t xml:space="preserve">Content</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40" w:line="260" w:lineRule="auto"/>
              <w:ind/>
              <w:rPr/>
            </w:pPr>
            <w:r>
              <w:rPr>
                <w:rFonts w:ascii="Calibri" w:hAnsi="Calibri" w:eastAsia="Calibri" w:cs="Calibri"/>
                <w:b/>
                <w:bCs/>
                <w:sz w:val="19"/>
                <w:szCs w:val="19"/>
              </w:rPr>
              <w:t xml:space="preserve">1  Structured &amp; Time-Series Intelligence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26" w:type="dxa"/>
            <w:vAlign w:val="top"/>
          </w:tcPr>
          <w:p>
            <w:pPr>
              <w:pBdr/>
              <w:spacing w:after="40" w:line="260" w:lineRule="auto"/>
              <w:ind/>
              <w:rPr/>
            </w:pPr>
            <w:r>
              <w:rPr>
                <w:rFonts w:ascii="Calibri" w:hAnsi="Calibri" w:eastAsia="Calibri" w:cs="Calibri"/>
                <w:b w:val="0"/>
                <w:bCs w:val="0"/>
                <w:sz w:val="19"/>
                <w:szCs w:val="19"/>
              </w:rPr>
              <w:t xml:space="preserve">Supply-chain records and temporal signals converted into temporal risk features (Person 1).</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40" w:line="260" w:lineRule="auto"/>
              <w:ind/>
              <w:rPr/>
            </w:pPr>
            <w:r>
              <w:rPr>
                <w:rFonts w:ascii="Calibri" w:hAnsi="Calibri" w:eastAsia="Calibri" w:cs="Calibri"/>
                <w:b/>
                <w:bCs/>
                <w:sz w:val="19"/>
                <w:szCs w:val="19"/>
              </w:rPr>
              <w:t xml:space="preserve">2  NLP / News Intelligence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26" w:type="dxa"/>
            <w:vAlign w:val="top"/>
          </w:tcPr>
          <w:p>
            <w:pPr>
              <w:pBdr/>
              <w:spacing w:after="40" w:line="260" w:lineRule="auto"/>
              <w:ind/>
              <w:rPr/>
            </w:pPr>
            <w:r>
              <w:rPr>
                <w:rFonts w:ascii="Calibri" w:hAnsi="Calibri" w:eastAsia="Calibri" w:cs="Calibri"/>
                <w:b w:val="0"/>
                <w:bCs w:val="0"/>
                <w:sz w:val="19"/>
                <w:szCs w:val="19"/>
              </w:rPr>
              <w:t xml:space="preserve">Events, entities, severity and embeddings extracted from news and text (Person 2).</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40" w:line="260" w:lineRule="auto"/>
              <w:ind/>
              <w:rPr/>
            </w:pPr>
            <w:r>
              <w:rPr>
                <w:rFonts w:ascii="Calibri" w:hAnsi="Calibri" w:eastAsia="Calibri" w:cs="Calibri"/>
                <w:b/>
                <w:bCs/>
                <w:sz w:val="19"/>
                <w:szCs w:val="19"/>
              </w:rPr>
              <w:t xml:space="preserve">3  External Event Intelligence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26" w:type="dxa"/>
            <w:vAlign w:val="top"/>
          </w:tcPr>
          <w:p>
            <w:pPr>
              <w:pBdr/>
              <w:spacing w:after="40" w:line="260" w:lineRule="auto"/>
              <w:ind/>
              <w:rPr/>
            </w:pPr>
            <w:r>
              <w:rPr>
                <w:rFonts w:ascii="Calibri" w:hAnsi="Calibri" w:eastAsia="Calibri" w:cs="Calibri"/>
                <w:b w:val="0"/>
                <w:bCs w:val="0"/>
                <w:sz w:val="19"/>
                <w:szCs w:val="19"/>
              </w:rPr>
              <w:t xml:space="preserve">Weather, disaster, geopolitical and infrastructure events mapped to supply-chain nodes (Person 3).</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700" w:type="dxa"/>
            <w:vAlign w:val="top"/>
          </w:tcPr>
          <w:p>
            <w:pPr>
              <w:pBdr/>
              <w:spacing w:after="40" w:line="260" w:lineRule="auto"/>
              <w:ind/>
              <w:rPr/>
            </w:pPr>
            <w:r>
              <w:rPr>
                <w:rFonts w:ascii="Calibri" w:hAnsi="Calibri" w:eastAsia="Calibri" w:cs="Calibri"/>
                <w:b/>
                <w:bCs/>
                <w:sz w:val="19"/>
                <w:szCs w:val="19"/>
              </w:rPr>
              <w:t xml:space="preserve">4  Logistics / Transportation Intelligence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326" w:type="dxa"/>
            <w:vAlign w:val="top"/>
          </w:tcPr>
          <w:p>
            <w:pPr>
              <w:pBdr/>
              <w:spacing w:after="40" w:line="260" w:lineRule="auto"/>
              <w:ind/>
              <w:rPr/>
            </w:pPr>
            <w:r>
              <w:rPr>
                <w:rFonts w:ascii="Calibri" w:hAnsi="Calibri" w:eastAsia="Calibri" w:cs="Calibri"/>
                <w:b w:val="0"/>
                <w:bCs w:val="0"/>
                <w:sz w:val="19"/>
                <w:szCs w:val="19"/>
              </w:rPr>
              <w:t xml:space="preserve">Cross-cutting branch</w:t>
            </w:r>
            <w:r>
              <w:rPr>
                <w:rFonts w:ascii="Calibri" w:hAnsi="Calibri" w:eastAsia="Calibri" w:cs="Calibri"/>
                <w:b w:val="0"/>
                <w:bCs w:val="0"/>
                <w:sz w:val="19"/>
                <w:szCs w:val="19"/>
              </w:rPr>
              <w:t xml:space="preserve">. Transport-delay and lead-time series are produced inside SupplyChainTimeSeries (Person 1). Route, port and infrastructure mapping is produced inside SupplyChainEventRisk (Person 3). No sixth library is created, so the five-library structure is preserved.</w:t>
            </w:r>
            <w:r/>
          </w:p>
        </w:tc>
      </w:tr>
    </w:tbl>
    <w:p>
      <w:pPr>
        <w:pBdr/>
        <w:spacing w:after="120" w:before="100" w:line="288" w:lineRule="auto"/>
        <w:ind/>
        <w:rPr/>
      </w:pPr>
      <w:r>
        <w:rPr>
          <w:rFonts w:ascii="Calibri" w:hAnsi="Calibri" w:eastAsia="Calibri" w:cs="Calibri"/>
          <w:sz w:val="21"/>
          <w:szCs w:val="21"/>
        </w:rPr>
        <w:t xml:space="preserve">All four branches merge into the multimodal fusion module.</w:t>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3. Five-Person Work Division</w:t>
      </w:r>
      <w:r/>
    </w:p>
    <w:p>
      <w:pPr>
        <w:pBdr/>
        <w:spacing w:after="120" w:before="0" w:line="288" w:lineRule="auto"/>
        <w:ind/>
        <w:rPr/>
      </w:pPr>
      <w:r>
        <w:rPr>
          <w:rFonts w:ascii="Calibri" w:hAnsi="Calibri" w:eastAsia="Calibri" w:cs="Calibri"/>
          <w:sz w:val="21"/>
          <w:szCs w:val="21"/>
        </w:rPr>
        <w:t xml:space="preserve">The division is </w:t>
      </w:r>
      <w:r>
        <w:rPr>
          <w:rFonts w:ascii="Calibri" w:hAnsi="Calibri" w:eastAsia="Calibri" w:cs="Calibri"/>
          <w:b/>
          <w:bCs/>
          <w:sz w:val="21"/>
          <w:szCs w:val="21"/>
        </w:rPr>
        <w:t xml:space="preserve">module-based, not task-based</w:t>
      </w:r>
      <w:r>
        <w:rPr>
          <w:rFonts w:ascii="Calibri" w:hAnsi="Calibri" w:eastAsia="Calibri" w:cs="Calibri"/>
          <w:sz w:val="21"/>
          <w:szCs w:val="21"/>
        </w:rPr>
        <w:t xml:space="preserve">. No member is assigned a pure</w:t>
      </w:r>
      <w:r>
        <w:rPr>
          <w:rFonts w:ascii="Calibri" w:hAnsi="Calibri" w:eastAsia="Calibri" w:cs="Calibri"/>
          <w:sz w:val="21"/>
          <w:szCs w:val="21"/>
        </w:rPr>
        <w:t xml:space="preserve">ly supporting role such as data collection, documentation or dashboard work. Every person has a meaningful coding component and a research component, and every person develops an independent Python library that is later imported into the integrated system.</w:t>
      </w:r>
      <w:r/>
    </w:p>
    <w:p>
      <w:pPr>
        <w:pStyle w:val="761"/>
        <w:keepNext w:val="true"/>
        <w:pBdr/>
        <w:spacing w:after="100" w:before="240"/>
        <w:ind/>
        <w:rPr/>
      </w:pPr>
      <w:r>
        <w:rPr>
          <w:rFonts w:ascii="Calibri" w:hAnsi="Calibri" w:eastAsia="Calibri" w:cs="Calibri"/>
          <w:b/>
          <w:bCs/>
          <w:color w:val="2f5597"/>
          <w:sz w:val="25"/>
          <w:szCs w:val="25"/>
        </w:rPr>
        <w:t xml:space="preserve">Person 1 — Structured &amp; Time-Series Intelligence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e3ea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2f5597"/>
                <w:sz w:val="19"/>
                <w:szCs w:val="19"/>
              </w:rPr>
              <w:t xml:space="preserve">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SupplyChainTimeSeries</w:t>
            </w:r>
            <w:r/>
          </w:p>
        </w:tc>
      </w:tr>
      <w:tr>
        <w:trPr>
          <w:cantSplit/>
        </w:trPr>
        <w:tc>
          <w:tcPr>
            <w:shd w:val="clear" w:color="auto" w:fill="e3ea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2f5597"/>
                <w:sz w:val="19"/>
                <w:szCs w:val="19"/>
              </w:rPr>
              <w:t xml:space="preserve">Responsibilities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sz w:val="19"/>
                <w:szCs w:val="19"/>
              </w:rPr>
              <w:t xml:space="preserve">Supply-chain data preprocessing</w:t>
            </w:r>
            <w:r/>
          </w:p>
          <w:p>
            <w:pPr>
              <w:pStyle w:val="752"/>
              <w:keepNext w:val="true"/>
              <w:numPr>
                <w:ilvl w:val="0"/>
                <w:numId w:val="2"/>
              </w:numPr>
              <w:pBdr/>
              <w:spacing w:after="30" w:line="260" w:lineRule="auto"/>
              <w:ind/>
              <w:rPr/>
            </w:pPr>
            <w:r>
              <w:rPr>
                <w:rFonts w:ascii="Calibri" w:hAnsi="Calibri" w:eastAsia="Calibri" w:cs="Calibri"/>
                <w:sz w:val="19"/>
                <w:szCs w:val="19"/>
              </w:rPr>
              <w:t xml:space="preserve">Time-series feature engineering</w:t>
            </w:r>
            <w:r/>
          </w:p>
          <w:p>
            <w:pPr>
              <w:pStyle w:val="752"/>
              <w:keepNext w:val="true"/>
              <w:numPr>
                <w:ilvl w:val="0"/>
                <w:numId w:val="2"/>
              </w:numPr>
              <w:pBdr/>
              <w:spacing w:after="30" w:line="260" w:lineRule="auto"/>
              <w:ind/>
              <w:rPr/>
            </w:pPr>
            <w:r>
              <w:rPr>
                <w:rFonts w:ascii="Calibri" w:hAnsi="Calibri" w:eastAsia="Calibri" w:cs="Calibri"/>
                <w:sz w:val="19"/>
                <w:szCs w:val="19"/>
              </w:rPr>
              <w:t xml:space="preserve">Demand and lead-time analysis</w:t>
            </w:r>
            <w:r/>
          </w:p>
          <w:p>
            <w:pPr>
              <w:pStyle w:val="752"/>
              <w:keepNext w:val="true"/>
              <w:numPr>
                <w:ilvl w:val="0"/>
                <w:numId w:val="2"/>
              </w:numPr>
              <w:pBdr/>
              <w:spacing w:after="30" w:line="260" w:lineRule="auto"/>
              <w:ind/>
              <w:rPr/>
            </w:pPr>
            <w:r>
              <w:rPr>
                <w:rFonts w:ascii="Calibri" w:hAnsi="Calibri" w:eastAsia="Calibri" w:cs="Calibri"/>
                <w:sz w:val="19"/>
                <w:szCs w:val="19"/>
              </w:rPr>
              <w:t xml:space="preserve">Anomaly detection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Temporal risk features</w:t>
            </w:r>
            <w:r/>
          </w:p>
          <w:p>
            <w:pPr>
              <w:pStyle w:val="752"/>
              <w:keepNext w:val="true"/>
              <w:numPr>
                <w:ilvl w:val="0"/>
                <w:numId w:val="2"/>
              </w:numPr>
              <w:pBdr/>
              <w:spacing w:after="30" w:line="260" w:lineRule="auto"/>
              <w:ind/>
              <w:rPr/>
            </w:pPr>
            <w:r>
              <w:rPr>
                <w:rFonts w:ascii="Calibri" w:hAnsi="Calibri" w:eastAsia="Calibri" w:cs="Calibri"/>
                <w:sz w:val="19"/>
                <w:szCs w:val="19"/>
              </w:rPr>
              <w:t xml:space="preserve">Forecasting / risk modelling</w:t>
            </w:r>
            <w:r/>
          </w:p>
        </w:tc>
      </w:tr>
      <w:tr>
        <w:trPr>
          <w:cantSplit/>
        </w:trPr>
        <w:tc>
          <w:tcPr>
            <w:shd w:val="clear" w:color="auto" w:fill="e3ea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2f5597"/>
                <w:sz w:val="19"/>
                <w:szCs w:val="19"/>
              </w:rPr>
              <w:t xml:space="preserve">Possible files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preprocessing.py · feature_engineering.py · anomaly_detection.py · forecasting.py · risk_features.py · pipeline.py</w:t>
            </w:r>
            <w:r/>
          </w:p>
        </w:tc>
      </w:tr>
      <w:tr>
        <w:trPr>
          <w:cantSplit/>
        </w:trPr>
        <w:tc>
          <w:tcPr>
            <w:shd w:val="clear" w:color="auto" w:fill="e3ea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2f5597"/>
                <w:sz w:val="19"/>
                <w:szCs w:val="19"/>
              </w:rPr>
              <w:t xml:space="preserve">Example functions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clean_supply_data() · create_lag_features() · calculate_moving_average() · detect_anomaly() · calculate_inventory_risk() · generate_timeseries_features()</w:t>
            </w:r>
            <w:r/>
          </w:p>
        </w:tc>
      </w:tr>
      <w:tr>
        <w:trPr>
          <w:cantSplit/>
        </w:trPr>
        <w:tc>
          <w:tcPr>
            <w:shd w:val="clear" w:color="auto" w:fill="e3ea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2f5597"/>
                <w:sz w:val="19"/>
                <w:szCs w:val="19"/>
              </w:rPr>
              <w:t xml:space="preserve">Output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Structured temporal risk features. Also transport-delay and lead-time series for the logistics branch.</w:t>
            </w:r>
            <w:r/>
          </w:p>
        </w:tc>
      </w:tr>
    </w:tbl>
    <w:p>
      <w:pPr>
        <w:pStyle w:val="761"/>
        <w:keepNext w:val="true"/>
        <w:pBdr/>
        <w:spacing w:after="100" w:before="240"/>
        <w:ind/>
        <w:rPr/>
      </w:pPr>
      <w:r>
        <w:rPr>
          <w:rFonts w:ascii="Calibri" w:hAnsi="Calibri" w:eastAsia="Calibri" w:cs="Calibri"/>
          <w:b/>
          <w:bCs/>
          <w:color w:val="3a7d44"/>
          <w:sz w:val="25"/>
          <w:szCs w:val="25"/>
        </w:rPr>
        <w:t xml:space="preserve">Person 2 — NLP &amp; News Intelligence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e4f1e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3a7d44"/>
                <w:sz w:val="19"/>
                <w:szCs w:val="19"/>
              </w:rPr>
              <w:t xml:space="preserve">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SupplyChainNLP</w:t>
            </w:r>
            <w:r/>
          </w:p>
        </w:tc>
      </w:tr>
      <w:tr>
        <w:trPr>
          <w:cantSplit/>
        </w:trPr>
        <w:tc>
          <w:tcPr>
            <w:shd w:val="clear" w:color="auto" w:fill="e4f1e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3a7d44"/>
                <w:sz w:val="19"/>
                <w:szCs w:val="19"/>
              </w:rPr>
              <w:t xml:space="preserve">Responsibilities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sz w:val="19"/>
                <w:szCs w:val="19"/>
              </w:rPr>
              <w:t xml:space="preserve">News preprocessing</w:t>
            </w:r>
            <w:r/>
          </w:p>
          <w:p>
            <w:pPr>
              <w:pStyle w:val="752"/>
              <w:keepNext w:val="true"/>
              <w:numPr>
                <w:ilvl w:val="0"/>
                <w:numId w:val="2"/>
              </w:numPr>
              <w:pBdr/>
              <w:spacing w:after="30" w:line="260" w:lineRule="auto"/>
              <w:ind/>
              <w:rPr/>
            </w:pPr>
            <w:r>
              <w:rPr>
                <w:rFonts w:ascii="Calibri" w:hAnsi="Calibri" w:eastAsia="Calibri" w:cs="Calibri"/>
                <w:sz w:val="19"/>
                <w:szCs w:val="19"/>
              </w:rPr>
              <w:t xml:space="preserve">Named entity recognition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Event extraction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Supply-chain relevance detection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Sentiment / event severity</w:t>
            </w:r>
            <w:r/>
          </w:p>
          <w:p>
            <w:pPr>
              <w:pStyle w:val="752"/>
              <w:keepNext w:val="true"/>
              <w:numPr>
                <w:ilvl w:val="0"/>
                <w:numId w:val="2"/>
              </w:numPr>
              <w:pBdr/>
              <w:spacing w:after="30" w:line="260" w:lineRule="auto"/>
              <w:ind/>
              <w:rPr/>
            </w:pPr>
            <w:r>
              <w:rPr>
                <w:rFonts w:ascii="Calibri" w:hAnsi="Calibri" w:eastAsia="Calibri" w:cs="Calibri"/>
                <w:sz w:val="19"/>
                <w:szCs w:val="19"/>
              </w:rPr>
              <w:t xml:space="preserve">Text embeddings</w:t>
            </w:r>
            <w:r/>
          </w:p>
          <w:p>
            <w:pPr>
              <w:pStyle w:val="752"/>
              <w:keepNext w:val="true"/>
              <w:numPr>
                <w:ilvl w:val="0"/>
                <w:numId w:val="2"/>
              </w:numPr>
              <w:pBdr/>
              <w:spacing w:after="30" w:line="260" w:lineRule="auto"/>
              <w:ind/>
              <w:rPr/>
            </w:pPr>
            <w:r>
              <w:rPr>
                <w:rFonts w:ascii="Calibri" w:hAnsi="Calibri" w:eastAsia="Calibri" w:cs="Calibri"/>
                <w:sz w:val="19"/>
                <w:szCs w:val="19"/>
              </w:rPr>
              <w:t xml:space="preserve">News-based disruption indicators</w:t>
            </w:r>
            <w:r/>
          </w:p>
        </w:tc>
      </w:tr>
      <w:tr>
        <w:trPr>
          <w:cantSplit/>
        </w:trPr>
        <w:tc>
          <w:tcPr>
            <w:shd w:val="clear" w:color="auto" w:fill="e4f1e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3a7d44"/>
                <w:sz w:val="19"/>
                <w:szCs w:val="19"/>
              </w:rPr>
              <w:t xml:space="preserve">Possible files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preprocessing.py · ner.py · event_extraction.py · sentiment.py · embeddings.py · relevance.py · pipeline.py</w:t>
            </w:r>
            <w:r/>
          </w:p>
        </w:tc>
      </w:tr>
      <w:tr>
        <w:trPr>
          <w:cantSplit/>
        </w:trPr>
        <w:tc>
          <w:tcPr>
            <w:shd w:val="clear" w:color="auto" w:fill="e4f1e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3a7d44"/>
                <w:sz w:val="19"/>
                <w:szCs w:val="19"/>
              </w:rPr>
              <w:t xml:space="preserve">Output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Structured information extracted from news and text. Illustrative output format:</w:t>
            </w:r>
            <w:r/>
          </w:p>
          <w:p>
            <w:pPr>
              <w:keepNext w:val="false"/>
              <w:pBdr/>
              <w:spacing w:after="40" w:line="260" w:lineRule="auto"/>
              <w:ind/>
              <w:rPr/>
            </w:pPr>
            <w:r>
              <w:rPr>
                <w:rFonts w:ascii="Calibri" w:hAnsi="Calibri" w:eastAsia="Calibri" w:cs="Calibri"/>
                <w:sz w:val="19"/>
                <w:szCs w:val="19"/>
              </w:rPr>
              <w:t xml:space="preserve">Event: Port disruption · Location: Shanghai · Severity: 0.82 · Risk: 0.76</w:t>
            </w:r>
            <w:r/>
          </w:p>
          <w:p>
            <w:pPr>
              <w:keepNext w:val="false"/>
              <w:pBdr/>
              <w:spacing w:after="40" w:line="260" w:lineRule="auto"/>
              <w:ind/>
              <w:rPr/>
            </w:pPr>
            <w:r>
              <w:rPr>
                <w:rFonts w:ascii="Calibri" w:hAnsi="Calibri" w:eastAsia="Calibri" w:cs="Calibri"/>
                <w:i/>
                <w:iCs/>
                <w:sz w:val="19"/>
                <w:szCs w:val="19"/>
              </w:rPr>
              <w:t xml:space="preserve">(example values for format only, not results)</w:t>
            </w:r>
            <w:r/>
          </w:p>
        </w:tc>
      </w:tr>
    </w:tbl>
    <w:p>
      <w:pPr>
        <w:pStyle w:val="761"/>
        <w:keepNext w:val="true"/>
        <w:pBdr/>
        <w:spacing w:after="100" w:before="240"/>
        <w:ind/>
        <w:rPr/>
      </w:pPr>
      <w:r>
        <w:rPr>
          <w:rFonts w:ascii="Calibri" w:hAnsi="Calibri" w:eastAsia="Calibri" w:cs="Calibri"/>
          <w:b/>
          <w:bCs/>
          <w:color w:val="b7791f"/>
          <w:sz w:val="25"/>
          <w:szCs w:val="25"/>
        </w:rPr>
        <w:t xml:space="preserve">Person 3 — External Event &amp; Spatial Intelligence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f8ebd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b7791f"/>
                <w:sz w:val="19"/>
                <w:szCs w:val="19"/>
              </w:rPr>
              <w:t xml:space="preserve">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SupplyChainEventRisk</w:t>
            </w:r>
            <w:r/>
          </w:p>
        </w:tc>
      </w:tr>
      <w:tr>
        <w:trPr>
          <w:cantSplit/>
        </w:trPr>
        <w:tc>
          <w:tcPr>
            <w:shd w:val="clear" w:color="auto" w:fill="f8ebd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b7791f"/>
                <w:sz w:val="19"/>
                <w:szCs w:val="19"/>
              </w:rPr>
              <w:t xml:space="preserve">Responsibilities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sz w:val="19"/>
                <w:szCs w:val="19"/>
              </w:rPr>
              <w:t xml:space="preserve">Weather events and natural disasters</w:t>
            </w:r>
            <w:r/>
          </w:p>
          <w:p>
            <w:pPr>
              <w:pStyle w:val="752"/>
              <w:keepNext w:val="true"/>
              <w:numPr>
                <w:ilvl w:val="0"/>
                <w:numId w:val="2"/>
              </w:numPr>
              <w:pBdr/>
              <w:spacing w:after="30" w:line="260" w:lineRule="auto"/>
              <w:ind/>
              <w:rPr/>
            </w:pPr>
            <w:r>
              <w:rPr>
                <w:rFonts w:ascii="Calibri" w:hAnsi="Calibri" w:eastAsia="Calibri" w:cs="Calibri"/>
                <w:sz w:val="19"/>
                <w:szCs w:val="19"/>
              </w:rPr>
              <w:t xml:space="preserve">Geopolitical events and infrastructure disruptions</w:t>
            </w:r>
            <w:r/>
          </w:p>
          <w:p>
            <w:pPr>
              <w:pStyle w:val="752"/>
              <w:keepNext w:val="true"/>
              <w:numPr>
                <w:ilvl w:val="0"/>
                <w:numId w:val="2"/>
              </w:numPr>
              <w:pBdr/>
              <w:spacing w:after="30" w:line="260" w:lineRule="auto"/>
              <w:ind/>
              <w:rPr/>
            </w:pPr>
            <w:r>
              <w:rPr>
                <w:rFonts w:ascii="Calibri" w:hAnsi="Calibri" w:eastAsia="Calibri" w:cs="Calibri"/>
                <w:sz w:val="19"/>
                <w:szCs w:val="19"/>
              </w:rPr>
              <w:t xml:space="preserve">Spatial / temporal alignment</w:t>
            </w:r>
            <w:r/>
          </w:p>
          <w:p>
            <w:pPr>
              <w:pStyle w:val="752"/>
              <w:keepNext w:val="true"/>
              <w:numPr>
                <w:ilvl w:val="0"/>
                <w:numId w:val="2"/>
              </w:numPr>
              <w:pBdr/>
              <w:spacing w:after="30" w:line="260" w:lineRule="auto"/>
              <w:ind/>
              <w:rPr/>
            </w:pPr>
            <w:r>
              <w:rPr>
                <w:rFonts w:ascii="Calibri" w:hAnsi="Calibri" w:eastAsia="Calibri" w:cs="Calibri"/>
                <w:sz w:val="19"/>
                <w:szCs w:val="19"/>
              </w:rPr>
              <w:t xml:space="preserve">Event severity calculation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Mapping external events to supply-chain nodes</w:t>
            </w:r>
            <w:r/>
          </w:p>
        </w:tc>
      </w:tr>
      <w:tr>
        <w:trPr>
          <w:cantSplit/>
        </w:trPr>
        <w:tc>
          <w:tcPr>
            <w:shd w:val="clear" w:color="auto" w:fill="f8ebd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b7791f"/>
                <w:sz w:val="19"/>
                <w:szCs w:val="19"/>
              </w:rPr>
              <w:t xml:space="preserve">Possible files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weather_processor.py · geo_event_processor.py · infrastructure.py · spatial_features.py · event_severity.py · pipeline.py</w:t>
            </w:r>
            <w:r/>
          </w:p>
        </w:tc>
      </w:tr>
      <w:tr>
        <w:trPr>
          <w:cantSplit/>
        </w:trPr>
        <w:tc>
          <w:tcPr>
            <w:shd w:val="clear" w:color="auto" w:fill="f8ebd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b7791f"/>
                <w:sz w:val="19"/>
                <w:szCs w:val="19"/>
              </w:rPr>
              <w:t xml:space="preserve">Output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External-event risk features. Also route, port and infrastructure mapping for the logistics branch.</w:t>
            </w:r>
            <w:r/>
          </w:p>
        </w:tc>
      </w:tr>
    </w:tbl>
    <w:p>
      <w:pPr>
        <w:pStyle w:val="761"/>
        <w:keepNext w:val="true"/>
        <w:pBdr/>
        <w:spacing w:after="100" w:before="240"/>
        <w:ind/>
        <w:rPr/>
      </w:pPr>
      <w:r>
        <w:rPr>
          <w:rFonts w:ascii="Calibri" w:hAnsi="Calibri" w:eastAsia="Calibri" w:cs="Calibri"/>
          <w:b/>
          <w:bCs/>
          <w:color w:val="6b4e9b"/>
          <w:sz w:val="25"/>
          <w:szCs w:val="25"/>
        </w:rPr>
        <w:t xml:space="preserve">Person 4 — Multimodal Fusion &amp; Early Warning</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eae3f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6b4e9b"/>
                <w:sz w:val="19"/>
                <w:szCs w:val="19"/>
              </w:rPr>
              <w:t xml:space="preserve">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MultimodalWarning</w:t>
            </w:r>
            <w:r/>
          </w:p>
        </w:tc>
      </w:tr>
      <w:tr>
        <w:trPr>
          <w:cantSplit/>
        </w:trPr>
        <w:tc>
          <w:tcPr>
            <w:shd w:val="clear" w:color="auto" w:fill="eae3f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6b4e9b"/>
                <w:sz w:val="19"/>
                <w:szCs w:val="19"/>
              </w:rPr>
              <w:t xml:space="preserve">Responsibilities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sz w:val="19"/>
                <w:szCs w:val="19"/>
              </w:rPr>
              <w:t xml:space="preserve">Feature alignment</w:t>
            </w:r>
            <w:r/>
          </w:p>
          <w:p>
            <w:pPr>
              <w:pStyle w:val="752"/>
              <w:keepNext w:val="true"/>
              <w:numPr>
                <w:ilvl w:val="0"/>
                <w:numId w:val="2"/>
              </w:numPr>
              <w:pBdr/>
              <w:spacing w:after="30" w:line="260" w:lineRule="auto"/>
              <w:ind/>
              <w:rPr/>
            </w:pPr>
            <w:r>
              <w:rPr>
                <w:rFonts w:ascii="Calibri" w:hAnsi="Calibri" w:eastAsia="Calibri" w:cs="Calibri"/>
                <w:sz w:val="19"/>
                <w:szCs w:val="19"/>
              </w:rPr>
              <w:t xml:space="preserve">Multimodal fusion</w:t>
            </w:r>
            <w:r/>
          </w:p>
          <w:p>
            <w:pPr>
              <w:pStyle w:val="752"/>
              <w:keepNext w:val="true"/>
              <w:numPr>
                <w:ilvl w:val="0"/>
                <w:numId w:val="2"/>
              </w:numPr>
              <w:pBdr/>
              <w:spacing w:after="30" w:line="260" w:lineRule="auto"/>
              <w:ind/>
              <w:rPr/>
            </w:pPr>
            <w:r>
              <w:rPr>
                <w:rFonts w:ascii="Calibri" w:hAnsi="Calibri" w:eastAsia="Calibri" w:cs="Calibri"/>
                <w:sz w:val="19"/>
                <w:szCs w:val="19"/>
              </w:rPr>
              <w:t xml:space="preserve">Prediction model and risk scoring</w:t>
            </w:r>
            <w:r/>
          </w:p>
          <w:p>
            <w:pPr>
              <w:pStyle w:val="752"/>
              <w:keepNext w:val="true"/>
              <w:numPr>
                <w:ilvl w:val="0"/>
                <w:numId w:val="2"/>
              </w:numPr>
              <w:pBdr/>
              <w:spacing w:after="30" w:line="260" w:lineRule="auto"/>
              <w:ind/>
              <w:rPr/>
            </w:pPr>
            <w:r>
              <w:rPr>
                <w:rFonts w:ascii="Calibri" w:hAnsi="Calibri" w:eastAsia="Calibri" w:cs="Calibri"/>
                <w:sz w:val="19"/>
                <w:szCs w:val="19"/>
              </w:rPr>
              <w:t xml:space="preserve">Disruption classification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Prediction horizon</w:t>
            </w:r>
            <w:r/>
          </w:p>
          <w:p>
            <w:pPr>
              <w:pStyle w:val="752"/>
              <w:keepNext w:val="true"/>
              <w:numPr>
                <w:ilvl w:val="0"/>
                <w:numId w:val="2"/>
              </w:numPr>
              <w:pBdr/>
              <w:spacing w:after="30" w:line="260" w:lineRule="auto"/>
              <w:ind/>
              <w:rPr/>
            </w:pPr>
            <w:r>
              <w:rPr>
                <w:rFonts w:ascii="Calibri" w:hAnsi="Calibri" w:eastAsia="Calibri" w:cs="Calibri"/>
                <w:sz w:val="19"/>
                <w:szCs w:val="19"/>
              </w:rPr>
              <w:t xml:space="preserve">Comparison of fusion strategies</w:t>
            </w:r>
            <w:r/>
          </w:p>
        </w:tc>
      </w:tr>
      <w:tr>
        <w:trPr>
          <w:cantSplit/>
        </w:trPr>
        <w:tc>
          <w:tcPr>
            <w:shd w:val="clear" w:color="auto" w:fill="eae3f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6b4e9b"/>
                <w:sz w:val="19"/>
                <w:szCs w:val="19"/>
              </w:rPr>
              <w:t xml:space="preserve">Possible files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feature_alignment.py · fusion.py · prediction.py · risk_scoring.py · horizon_prediction.py · pipeline.py</w:t>
            </w:r>
            <w:r/>
          </w:p>
        </w:tc>
      </w:tr>
      <w:tr>
        <w:trPr>
          <w:cantSplit/>
        </w:trPr>
        <w:tc>
          <w:tcPr>
            <w:shd w:val="clear" w:color="auto" w:fill="eae3f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6b4e9b"/>
                <w:sz w:val="19"/>
                <w:szCs w:val="19"/>
              </w:rPr>
              <w:t xml:space="preserve">Fusion strategies to compare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b/>
                <w:bCs/>
                <w:sz w:val="19"/>
                <w:szCs w:val="19"/>
              </w:rPr>
              <w:t xml:space="preserve">Early fusion:</w:t>
            </w:r>
            <w:r>
              <w:rPr>
                <w:rFonts w:ascii="Calibri" w:hAnsi="Calibri" w:eastAsia="Calibri" w:cs="Calibri"/>
                <w:sz w:val="19"/>
                <w:szCs w:val="19"/>
              </w:rPr>
              <w:t xml:space="preserve"> concatenate aligned features from all modalities, then train one model.</w:t>
            </w:r>
            <w:r/>
          </w:p>
          <w:p>
            <w:pPr>
              <w:pStyle w:val="752"/>
              <w:keepNext w:val="true"/>
              <w:numPr>
                <w:ilvl w:val="0"/>
                <w:numId w:val="2"/>
              </w:numPr>
              <w:pBdr/>
              <w:spacing w:after="30" w:line="260" w:lineRule="auto"/>
              <w:ind/>
              <w:rPr/>
            </w:pPr>
            <w:r>
              <w:rPr>
                <w:rFonts w:ascii="Calibri" w:hAnsi="Calibri" w:eastAsia="Calibri" w:cs="Calibri"/>
                <w:b/>
                <w:bCs/>
                <w:sz w:val="19"/>
                <w:szCs w:val="19"/>
              </w:rPr>
              <w:t xml:space="preserve">Intermediate fusion:</w:t>
            </w:r>
            <w:r>
              <w:rPr>
                <w:rFonts w:ascii="Calibri" w:hAnsi="Calibri" w:eastAsia="Calibri" w:cs="Calibri"/>
                <w:sz w:val="19"/>
                <w:szCs w:val="19"/>
              </w:rPr>
              <w:t xml:space="preserve"> modality-specific encoders feed joint layers (for example gated or cross-attention fusion) before the prediction head.</w:t>
            </w:r>
            <w:r/>
          </w:p>
          <w:p>
            <w:pPr>
              <w:pStyle w:val="752"/>
              <w:keepNext w:val="true"/>
              <w:numPr>
                <w:ilvl w:val="0"/>
                <w:numId w:val="2"/>
              </w:numPr>
              <w:pBdr/>
              <w:spacing w:after="30" w:line="260" w:lineRule="auto"/>
              <w:ind/>
              <w:rPr/>
            </w:pPr>
            <w:r>
              <w:rPr>
                <w:rFonts w:ascii="Calibri" w:hAnsi="Calibri" w:eastAsia="Calibri" w:cs="Calibri"/>
                <w:b/>
                <w:bCs/>
                <w:sz w:val="19"/>
                <w:szCs w:val="19"/>
              </w:rPr>
              <w:t xml:space="preserve">Late fusion:</w:t>
            </w:r>
            <w:r>
              <w:rPr>
                <w:rFonts w:ascii="Calibri" w:hAnsi="Calibri" w:eastAsia="Calibri" w:cs="Calibri"/>
                <w:sz w:val="19"/>
                <w:szCs w:val="19"/>
              </w:rPr>
              <w:t xml:space="preserve"> separate per-modality predictors whose outputs are combined at decision level.</w:t>
            </w:r>
            <w:r/>
          </w:p>
        </w:tc>
      </w:tr>
      <w:tr>
        <w:trPr>
          <w:cantSplit/>
        </w:trPr>
        <w:tc>
          <w:tcPr>
            <w:shd w:val="clear" w:color="auto" w:fill="eae3f4"/>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6b4e9b"/>
                <w:sz w:val="19"/>
                <w:szCs w:val="19"/>
              </w:rPr>
              <w:t xml:space="preserve">Output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Disruption probability · risk level · disruption type · predicted time horizon</w:t>
            </w:r>
            <w:r/>
          </w:p>
        </w:tc>
      </w:tr>
    </w:tbl>
    <w:p>
      <w:pPr>
        <w:pStyle w:val="761"/>
        <w:keepNext w:val="true"/>
        <w:pBdr/>
        <w:spacing w:after="100" w:before="240"/>
        <w:ind/>
        <w:rPr/>
      </w:pPr>
      <w:r>
        <w:rPr>
          <w:rFonts w:ascii="Calibri" w:hAnsi="Calibri" w:eastAsia="Calibri" w:cs="Calibri"/>
          <w:b/>
          <w:bCs/>
          <w:color w:val="a23b3b"/>
          <w:sz w:val="25"/>
          <w:szCs w:val="25"/>
        </w:rPr>
        <w:t xml:space="preserve">Person 5 — Explainability, Evidence &amp; Uncertainty Intelligence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f6e3e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a23b3b"/>
                <w:sz w:val="19"/>
                <w:szCs w:val="19"/>
              </w:rPr>
              <w:t xml:space="preserve">Library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ExplainableWarning</w:t>
            </w:r>
            <w:r/>
          </w:p>
        </w:tc>
      </w:tr>
      <w:tr>
        <w:trPr>
          <w:cantSplit/>
        </w:trPr>
        <w:tc>
          <w:tcPr>
            <w:shd w:val="clear" w:color="auto" w:fill="f6e3e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a23b3b"/>
                <w:sz w:val="19"/>
                <w:szCs w:val="19"/>
              </w:rPr>
              <w:t xml:space="preserve">Possible files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shap_explainer.py · text_attribution.py · event_attribution.py · cross_modal.py · uncertainty.py · evidence.py · explanation_generator.py · pipeline.py</w:t>
            </w:r>
            <w:r/>
          </w:p>
        </w:tc>
      </w:tr>
      <w:tr>
        <w:trPr>
          <w:cantSplit/>
        </w:trPr>
        <w:tc>
          <w:tcPr>
            <w:shd w:val="clear" w:color="auto" w:fill="f6e3e3"/>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a23b3b"/>
                <w:sz w:val="19"/>
                <w:szCs w:val="19"/>
              </w:rPr>
              <w:t xml:space="preserve">Role in the project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Takes the fused model and its prediction and produces attribution, evidence, consistency checks, uncertainty and the final explanation. This role is deliberately separated from the general project and is detailed in the companion document </w:t>
            </w:r>
            <w:r>
              <w:rPr>
                <w:rFonts w:ascii="Calibri" w:hAnsi="Calibri" w:eastAsia="Calibri" w:cs="Calibri"/>
                <w:i/>
                <w:iCs/>
                <w:sz w:val="19"/>
                <w:szCs w:val="19"/>
              </w:rPr>
              <w:t xml:space="preserve">Individual Research Contribution</w:t>
            </w:r>
            <w:r>
              <w:rPr>
                <w:rFonts w:ascii="Calibri" w:hAnsi="Calibri" w:eastAsia="Calibri" w:cs="Calibri"/>
                <w:sz w:val="19"/>
                <w:szCs w:val="19"/>
              </w:rPr>
              <w:t xml:space="preserve">.</w:t>
            </w:r>
            <w:r/>
          </w:p>
        </w:tc>
      </w:tr>
    </w:tbl>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4. Library-Based Integration Architecture</w:t>
      </w:r>
      <w:r/>
    </w:p>
    <w:p>
      <w:pPr>
        <w:pBdr/>
        <w:spacing w:after="120" w:before="0" w:line="288" w:lineRule="auto"/>
        <w:ind/>
        <w:rPr/>
      </w:pPr>
      <w:r>
        <w:rPr>
          <w:rFonts w:ascii="Calibri" w:hAnsi="Calibri" w:eastAsia="Calibri" w:cs="Calibri"/>
          <w:sz w:val="21"/>
          <w:szCs w:val="21"/>
        </w:rPr>
        <w:t xml:space="preserve">Each member develops and tests one library independently. The final system integrates all five by importing them into a common pipeline. This keeps ownership clear, allows parallel development, and lets each library be evaluated and reused on its own.</w:t>
      </w:r>
      <w:r/>
    </w:p>
    <w:p>
      <w:pPr>
        <w:pStyle w:val="761"/>
        <w:keepNext w:val="true"/>
        <w:pBdr/>
        <w:spacing w:after="100" w:before="240"/>
        <w:ind/>
        <w:rPr/>
      </w:pPr>
      <w:r>
        <w:rPr>
          <w:rFonts w:ascii="Calibri" w:hAnsi="Calibri" w:eastAsia="Calibri" w:cs="Calibri"/>
          <w:b/>
          <w:bCs/>
          <w:color w:val="1f3864"/>
          <w:sz w:val="25"/>
          <w:szCs w:val="25"/>
        </w:rPr>
        <w:t xml:space="preserve">4.1 Repository structure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cantSplit/>
        </w:trPr>
        <w:tc>
          <w:tcPr>
            <w:shd w:val="clear" w:color="auto" w:fill="f6f6f6"/>
            <w:tcBorders>
              <w:top w:val="single" w:color="d0d0d0" w:sz="4" w:space="0"/>
              <w:left w:val="single" w:color="d0d0d0" w:sz="4" w:space="0"/>
              <w:bottom w:val="single" w:color="d0d0d0" w:sz="4" w:space="0"/>
              <w:right w:val="single" w:color="d0d0d0" w:sz="4" w:space="0"/>
            </w:tcBorders>
            <w:tcMar>
              <w:left w:w="180" w:type="dxa"/>
              <w:top w:w="100" w:type="dxa"/>
              <w:right w:w="140" w:type="dxa"/>
              <w:bottom w:w="100" w:type="dxa"/>
            </w:tcMar>
            <w:tcW w:w="9026" w:type="dxa"/>
          </w:tcPr>
          <w:p>
            <w:pPr>
              <w:pBdr/>
              <w:spacing w:after="0" w:line="250" w:lineRule="auto"/>
              <w:ind/>
              <w:rPr/>
            </w:pPr>
            <w:r>
              <w:rPr>
                <w:rFonts w:ascii="Consolas" w:hAnsi="Consolas" w:eastAsia="Consolas" w:cs="Consolas"/>
                <w:color w:val="222222"/>
                <w:sz w:val="18"/>
                <w:szCs w:val="18"/>
              </w:rPr>
              <w:t xml:space="preserve">Project</w:t>
            </w:r>
            <w:r/>
          </w:p>
          <w:p>
            <w:pPr>
              <w:pBdr/>
              <w:spacing w:after="0" w:line="250" w:lineRule="auto"/>
              <w:ind/>
              <w:rPr/>
            </w:pPr>
            <w:r>
              <w:rPr>
                <w:rFonts w:ascii="Consolas" w:hAnsi="Consolas" w:eastAsia="Consolas" w:cs="Consolas"/>
                <w:color w:val="222222"/>
                <w:sz w:val="18"/>
                <w:szCs w:val="18"/>
              </w:rPr>
              <w:t xml:space="preserve">│</w:t>
            </w:r>
            <w:r/>
          </w:p>
          <w:p>
            <w:pPr>
              <w:pBdr/>
              <w:spacing w:after="0" w:line="250" w:lineRule="auto"/>
              <w:ind/>
              <w:rPr/>
            </w:pPr>
            <w:r>
              <w:rPr>
                <w:rFonts w:ascii="Consolas" w:hAnsi="Consolas" w:eastAsia="Consolas" w:cs="Consolas"/>
                <w:color w:val="222222"/>
                <w:sz w:val="18"/>
                <w:szCs w:val="18"/>
              </w:rPr>
              <w:t xml:space="preserve">├── libraries/</w:t>
            </w:r>
            <w:r/>
          </w:p>
          <w:p>
            <w:pPr>
              <w:pBdr/>
              <w:spacing w:after="0" w:line="250" w:lineRule="auto"/>
              <w:ind/>
              <w:rPr/>
            </w:pPr>
            <w:r>
              <w:rPr>
                <w:rFonts w:ascii="Consolas" w:hAnsi="Consolas" w:eastAsia="Consolas" w:cs="Consolas"/>
                <w:color w:val="222222"/>
                <w:sz w:val="18"/>
                <w:szCs w:val="18"/>
              </w:rPr>
              <w:t xml:space="preserve">│   ├── SupplyChainTimeSeries/     (Person 1)</w:t>
            </w:r>
            <w:r/>
          </w:p>
          <w:p>
            <w:pPr>
              <w:pBdr/>
              <w:spacing w:after="0" w:line="250" w:lineRule="auto"/>
              <w:ind/>
              <w:rPr/>
            </w:pPr>
            <w:r>
              <w:rPr>
                <w:rFonts w:ascii="Consolas" w:hAnsi="Consolas" w:eastAsia="Consolas" w:cs="Consolas"/>
                <w:color w:val="222222"/>
                <w:sz w:val="18"/>
                <w:szCs w:val="18"/>
              </w:rPr>
              <w:t xml:space="preserve">│   ├── SupplyChainNLP/            (Person 2)</w:t>
            </w:r>
            <w:r/>
          </w:p>
          <w:p>
            <w:pPr>
              <w:pBdr/>
              <w:spacing w:after="0" w:line="250" w:lineRule="auto"/>
              <w:ind/>
              <w:rPr/>
            </w:pPr>
            <w:r>
              <w:rPr>
                <w:rFonts w:ascii="Consolas" w:hAnsi="Consolas" w:eastAsia="Consolas" w:cs="Consolas"/>
                <w:color w:val="222222"/>
                <w:sz w:val="18"/>
                <w:szCs w:val="18"/>
              </w:rPr>
              <w:t xml:space="preserve">│   ├── SupplyChainEventRisk/      (Person 3)</w:t>
            </w:r>
            <w:r/>
          </w:p>
          <w:p>
            <w:pPr>
              <w:pBdr/>
              <w:spacing w:after="0" w:line="250" w:lineRule="auto"/>
              <w:ind/>
              <w:rPr/>
            </w:pPr>
            <w:r>
              <w:rPr>
                <w:rFonts w:ascii="Consolas" w:hAnsi="Consolas" w:eastAsia="Consolas" w:cs="Consolas"/>
                <w:color w:val="222222"/>
                <w:sz w:val="18"/>
                <w:szCs w:val="18"/>
              </w:rPr>
              <w:t xml:space="preserve">│   ├── MultimodalWarning/         (Person 4)</w:t>
            </w:r>
            <w:r/>
          </w:p>
          <w:p>
            <w:pPr>
              <w:pBdr/>
              <w:spacing w:after="0" w:line="250" w:lineRule="auto"/>
              <w:ind/>
              <w:rPr/>
            </w:pPr>
            <w:r>
              <w:rPr>
                <w:rFonts w:ascii="Consolas" w:hAnsi="Consolas" w:eastAsia="Consolas" w:cs="Consolas"/>
                <w:color w:val="222222"/>
                <w:sz w:val="18"/>
                <w:szCs w:val="18"/>
              </w:rPr>
              <w:t xml:space="preserve">│   └── ExplainableWarning/        (Person 5)</w:t>
            </w:r>
            <w:r/>
          </w:p>
          <w:p>
            <w:pPr>
              <w:pBdr/>
              <w:spacing w:after="0" w:line="250" w:lineRule="auto"/>
              <w:ind/>
              <w:rPr/>
            </w:pPr>
            <w:r>
              <w:rPr>
                <w:rFonts w:ascii="Consolas" w:hAnsi="Consolas" w:eastAsia="Consolas" w:cs="Consolas"/>
                <w:color w:val="222222"/>
                <w:sz w:val="18"/>
                <w:szCs w:val="18"/>
              </w:rPr>
              <w:t xml:space="preserve">│</w:t>
            </w:r>
            <w:r/>
          </w:p>
          <w:p>
            <w:pPr>
              <w:pBdr/>
              <w:spacing w:after="0" w:line="250" w:lineRule="auto"/>
              <w:ind/>
              <w:rPr/>
            </w:pPr>
            <w:r>
              <w:rPr>
                <w:rFonts w:ascii="Consolas" w:hAnsi="Consolas" w:eastAsia="Consolas" w:cs="Consolas"/>
                <w:color w:val="222222"/>
                <w:sz w:val="18"/>
                <w:szCs w:val="18"/>
              </w:rPr>
              <w:t xml:space="preserve">├── integration/</w:t>
            </w:r>
            <w:r/>
          </w:p>
          <w:p>
            <w:pPr>
              <w:pBdr/>
              <w:spacing w:after="0" w:line="250" w:lineRule="auto"/>
              <w:ind/>
              <w:rPr/>
            </w:pPr>
            <w:r>
              <w:rPr>
                <w:rFonts w:ascii="Consolas" w:hAnsi="Consolas" w:eastAsia="Consolas" w:cs="Consolas"/>
                <w:color w:val="222222"/>
                <w:sz w:val="18"/>
                <w:szCs w:val="18"/>
              </w:rPr>
              <w:t xml:space="preserve">│   └── pipeline.py</w:t>
            </w:r>
            <w:r/>
          </w:p>
          <w:p>
            <w:pPr>
              <w:pBdr/>
              <w:spacing w:after="0" w:line="250" w:lineRule="auto"/>
              <w:ind/>
              <w:rPr/>
            </w:pPr>
            <w:r>
              <w:rPr>
                <w:rFonts w:ascii="Consolas" w:hAnsi="Consolas" w:eastAsia="Consolas" w:cs="Consolas"/>
                <w:color w:val="222222"/>
                <w:sz w:val="18"/>
                <w:szCs w:val="18"/>
              </w:rPr>
              <w:t xml:space="preserve">│</w:t>
            </w:r>
            <w:r/>
          </w:p>
          <w:p>
            <w:pPr>
              <w:pBdr/>
              <w:spacing w:after="0" w:line="250" w:lineRule="auto"/>
              <w:ind/>
              <w:rPr/>
            </w:pPr>
            <w:r>
              <w:rPr>
                <w:rFonts w:ascii="Consolas" w:hAnsi="Consolas" w:eastAsia="Consolas" w:cs="Consolas"/>
                <w:color w:val="222222"/>
                <w:sz w:val="18"/>
                <w:szCs w:val="18"/>
              </w:rPr>
              <w:t xml:space="preserve">├── dashboard/</w:t>
            </w:r>
            <w:r/>
          </w:p>
          <w:p>
            <w:pPr>
              <w:pBdr/>
              <w:spacing w:after="0" w:line="250" w:lineRule="auto"/>
              <w:ind/>
              <w:rPr/>
            </w:pPr>
            <w:r>
              <w:rPr>
                <w:rFonts w:ascii="Consolas" w:hAnsi="Consolas" w:eastAsia="Consolas" w:cs="Consolas"/>
                <w:color w:val="222222"/>
                <w:sz w:val="18"/>
                <w:szCs w:val="18"/>
              </w:rPr>
              <w:t xml:space="preserve">├── experiments/</w:t>
            </w:r>
            <w:r/>
          </w:p>
          <w:p>
            <w:pPr>
              <w:pBdr/>
              <w:spacing w:after="0" w:line="250" w:lineRule="auto"/>
              <w:ind/>
              <w:rPr/>
            </w:pPr>
            <w:r>
              <w:rPr>
                <w:rFonts w:ascii="Consolas" w:hAnsi="Consolas" w:eastAsia="Consolas" w:cs="Consolas"/>
                <w:color w:val="222222"/>
                <w:sz w:val="18"/>
                <w:szCs w:val="18"/>
              </w:rPr>
              <w:t xml:space="preserve">├── configs/</w:t>
            </w:r>
            <w:r/>
          </w:p>
          <w:p>
            <w:pPr>
              <w:pBdr/>
              <w:spacing w:after="0" w:line="250" w:lineRule="auto"/>
              <w:ind/>
              <w:rPr/>
            </w:pPr>
            <w:r>
              <w:rPr>
                <w:rFonts w:ascii="Consolas" w:hAnsi="Consolas" w:eastAsia="Consolas" w:cs="Consolas"/>
                <w:color w:val="222222"/>
                <w:sz w:val="18"/>
                <w:szCs w:val="18"/>
              </w:rPr>
              <w:t xml:space="preserve">└── tests/</w:t>
            </w:r>
            <w:r/>
          </w:p>
        </w:tc>
      </w:tr>
    </w:tbl>
    <w:p>
      <w:pPr>
        <w:pStyle w:val="761"/>
        <w:keepNext w:val="true"/>
        <w:pBdr/>
        <w:spacing w:after="100" w:before="240"/>
        <w:ind/>
        <w:rPr/>
      </w:pPr>
      <w:r>
        <w:rPr>
          <w:rFonts w:ascii="Calibri" w:hAnsi="Calibri" w:eastAsia="Calibri" w:cs="Calibri"/>
          <w:b/>
          <w:bCs/>
          <w:color w:val="1f3864"/>
          <w:sz w:val="25"/>
          <w:szCs w:val="25"/>
        </w:rPr>
        <w:t xml:space="preserve">4.2 Integration concept</w:t>
      </w:r>
      <w:r/>
    </w:p>
    <w:p>
      <w:pPr>
        <w:pBdr/>
        <w:spacing w:after="120" w:before="0" w:line="288" w:lineRule="auto"/>
        <w:ind/>
        <w:rPr/>
      </w:pPr>
      <w:r>
        <w:rPr>
          <w:rFonts w:ascii="Calibri" w:hAnsi="Calibri" w:eastAsia="Calibri" w:cs="Calibri"/>
          <w:sz w:val="21"/>
          <w:szCs w:val="21"/>
        </w:rPr>
        <w:t xml:space="preserve">The class and method names below are a </w:t>
      </w:r>
      <w:r>
        <w:rPr>
          <w:rFonts w:ascii="Calibri" w:hAnsi="Calibri" w:eastAsia="Calibri" w:cs="Calibri"/>
          <w:b/>
          <w:bCs/>
          <w:sz w:val="21"/>
          <w:szCs w:val="21"/>
        </w:rPr>
        <w:t xml:space="preserve">proposed interface</w:t>
      </w:r>
      <w:r>
        <w:rPr>
          <w:rFonts w:ascii="Calibri" w:hAnsi="Calibri" w:eastAsia="Calibri" w:cs="Calibri"/>
          <w:sz w:val="21"/>
          <w:szCs w:val="21"/>
        </w:rPr>
        <w:t xml:space="preserve">, to be confirmed by the team in the first integration meeting.</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cantSplit/>
        </w:trPr>
        <w:tc>
          <w:tcPr>
            <w:shd w:val="clear" w:color="auto" w:fill="f6f6f6"/>
            <w:tcBorders>
              <w:top w:val="single" w:color="d0d0d0" w:sz="4" w:space="0"/>
              <w:left w:val="single" w:color="d0d0d0" w:sz="4" w:space="0"/>
              <w:bottom w:val="single" w:color="d0d0d0" w:sz="4" w:space="0"/>
              <w:right w:val="single" w:color="d0d0d0" w:sz="4" w:space="0"/>
            </w:tcBorders>
            <w:tcMar>
              <w:left w:w="180" w:type="dxa"/>
              <w:top w:w="100" w:type="dxa"/>
              <w:right w:w="140" w:type="dxa"/>
              <w:bottom w:w="100" w:type="dxa"/>
            </w:tcMar>
            <w:tcW w:w="9026" w:type="dxa"/>
          </w:tcPr>
          <w:p>
            <w:pPr>
              <w:pBdr/>
              <w:spacing w:after="0" w:line="250" w:lineRule="auto"/>
              <w:ind/>
              <w:rPr/>
            </w:pPr>
            <w:r>
              <w:rPr>
                <w:rFonts w:ascii="Consolas" w:hAnsi="Consolas" w:eastAsia="Consolas" w:cs="Consolas"/>
                <w:color w:val="222222"/>
                <w:sz w:val="18"/>
                <w:szCs w:val="18"/>
              </w:rPr>
              <w:t xml:space="preserve">from SupplyChainTimeSeries import TimeSeriesProcessor</w:t>
            </w:r>
            <w:r/>
          </w:p>
          <w:p>
            <w:pPr>
              <w:pBdr/>
              <w:spacing w:after="0" w:line="250" w:lineRule="auto"/>
              <w:ind/>
              <w:rPr/>
            </w:pPr>
            <w:r>
              <w:rPr>
                <w:rFonts w:ascii="Consolas" w:hAnsi="Consolas" w:eastAsia="Consolas" w:cs="Consolas"/>
                <w:color w:val="222222"/>
                <w:sz w:val="18"/>
                <w:szCs w:val="18"/>
              </w:rPr>
              <w:t xml:space="preserve">from SupplyChainNLP import NewsProcessor</w:t>
            </w:r>
            <w:r/>
          </w:p>
          <w:p>
            <w:pPr>
              <w:pBdr/>
              <w:spacing w:after="0" w:line="250" w:lineRule="auto"/>
              <w:ind/>
              <w:rPr/>
            </w:pPr>
            <w:r>
              <w:rPr>
                <w:rFonts w:ascii="Consolas" w:hAnsi="Consolas" w:eastAsia="Consolas" w:cs="Consolas"/>
                <w:color w:val="222222"/>
                <w:sz w:val="18"/>
                <w:szCs w:val="18"/>
              </w:rPr>
              <w:t xml:space="preserve">from SupplyChainEventRisk import EventProcessor</w:t>
            </w:r>
            <w:r/>
          </w:p>
          <w:p>
            <w:pPr>
              <w:pBdr/>
              <w:spacing w:after="0" w:line="250" w:lineRule="auto"/>
              <w:ind/>
              <w:rPr/>
            </w:pPr>
            <w:r>
              <w:rPr>
                <w:rFonts w:ascii="Consolas" w:hAnsi="Consolas" w:eastAsia="Consolas" w:cs="Consolas"/>
                <w:color w:val="222222"/>
                <w:sz w:val="18"/>
                <w:szCs w:val="18"/>
              </w:rPr>
              <w:t xml:space="preserve">from MultimodalWarning import MultimodalWarning</w:t>
            </w:r>
            <w:r/>
          </w:p>
          <w:p>
            <w:pPr>
              <w:pBdr/>
              <w:spacing w:after="0" w:line="250" w:lineRule="auto"/>
              <w:ind/>
              <w:rPr/>
            </w:pPr>
            <w:r>
              <w:rPr>
                <w:rFonts w:ascii="Consolas" w:hAnsi="Consolas" w:eastAsia="Consolas" w:cs="Consolas"/>
                <w:color w:val="222222"/>
                <w:sz w:val="18"/>
                <w:szCs w:val="18"/>
              </w:rPr>
              <w:t xml:space="preserve">from ExplainableWarning import ExplainableWarning</w:t>
            </w:r>
            <w:r/>
          </w:p>
          <w:p>
            <w:pPr>
              <w:pBdr/>
              <w:spacing w:after="0" w:line="250" w:lineRule="auto"/>
              <w:ind/>
              <w:rPr/>
            </w:pPr>
            <w:r>
              <w:rPr>
                <w:rFonts w:ascii="Consolas" w:hAnsi="Consolas" w:eastAsia="Consolas" w:cs="Consolas"/>
                <w:color w:val="222222"/>
                <w:sz w:val="18"/>
                <w:szCs w:val="18"/>
              </w:rPr>
            </w:r>
            <w:r/>
          </w:p>
          <w:p>
            <w:pPr>
              <w:pBdr/>
              <w:spacing w:after="0" w:line="250" w:lineRule="auto"/>
              <w:ind/>
              <w:rPr/>
            </w:pPr>
            <w:r>
              <w:rPr>
                <w:rFonts w:ascii="Consolas" w:hAnsi="Consolas" w:eastAsia="Consolas" w:cs="Consolas"/>
                <w:color w:val="222222"/>
                <w:sz w:val="18"/>
                <w:szCs w:val="18"/>
              </w:rPr>
              <w:t xml:space="preserve">ts_features    = TimeSeriesProcessor(cfg).transform(supply_data)</w:t>
            </w:r>
            <w:r/>
          </w:p>
          <w:p>
            <w:pPr>
              <w:pBdr/>
              <w:spacing w:after="0" w:line="250" w:lineRule="auto"/>
              <w:ind/>
              <w:rPr/>
            </w:pPr>
            <w:r>
              <w:rPr>
                <w:rFonts w:ascii="Consolas" w:hAnsi="Consolas" w:eastAsia="Consolas" w:cs="Consolas"/>
                <w:color w:val="222222"/>
                <w:sz w:val="18"/>
                <w:szCs w:val="18"/>
              </w:rPr>
              <w:t xml:space="preserve">news_features  = NewsProcessor(cfg).transform(news_data)</w:t>
            </w:r>
            <w:r/>
          </w:p>
          <w:p>
            <w:pPr>
              <w:pBdr/>
              <w:spacing w:after="0" w:line="250" w:lineRule="auto"/>
              <w:ind/>
              <w:rPr/>
            </w:pPr>
            <w:r>
              <w:rPr>
                <w:rFonts w:ascii="Consolas" w:hAnsi="Consolas" w:eastAsia="Consolas" w:cs="Consolas"/>
                <w:color w:val="222222"/>
                <w:sz w:val="18"/>
                <w:szCs w:val="18"/>
              </w:rPr>
              <w:t xml:space="preserve">event_features = EventProcessor(cfg).transform(event_data, network)</w:t>
            </w:r>
            <w:r/>
          </w:p>
          <w:p>
            <w:pPr>
              <w:pBdr/>
              <w:spacing w:after="0" w:line="250" w:lineRule="auto"/>
              <w:ind/>
              <w:rPr/>
            </w:pPr>
            <w:r>
              <w:rPr>
                <w:rFonts w:ascii="Consolas" w:hAnsi="Consolas" w:eastAsia="Consolas" w:cs="Consolas"/>
                <w:color w:val="222222"/>
                <w:sz w:val="18"/>
                <w:szCs w:val="18"/>
              </w:rPr>
            </w:r>
            <w:r/>
          </w:p>
          <w:p>
            <w:pPr>
              <w:pBdr/>
              <w:spacing w:after="0" w:line="250" w:lineRule="auto"/>
              <w:ind/>
              <w:rPr/>
            </w:pPr>
            <w:r>
              <w:rPr>
                <w:rFonts w:ascii="Consolas" w:hAnsi="Consolas" w:eastAsia="Consolas" w:cs="Consolas"/>
                <w:color w:val="222222"/>
                <w:sz w:val="18"/>
                <w:szCs w:val="18"/>
              </w:rPr>
              <w:t xml:space="preserve">model      = MultimodalWarning(cfg, fusion="intermediate")</w:t>
            </w:r>
            <w:r/>
          </w:p>
          <w:p>
            <w:pPr>
              <w:pBdr/>
              <w:spacing w:after="0" w:line="250" w:lineRule="auto"/>
              <w:ind/>
              <w:rPr/>
            </w:pPr>
            <w:r>
              <w:rPr>
                <w:rFonts w:ascii="Consolas" w:hAnsi="Consolas" w:eastAsia="Consolas" w:cs="Consolas"/>
                <w:color w:val="222222"/>
                <w:sz w:val="18"/>
                <w:szCs w:val="18"/>
              </w:rPr>
              <w:t xml:space="preserve">prediction = model.predict(ts_features, news_features, event_features)</w:t>
            </w:r>
            <w:r/>
          </w:p>
          <w:p>
            <w:pPr>
              <w:pBdr/>
              <w:spacing w:after="0" w:line="250" w:lineRule="auto"/>
              <w:ind/>
              <w:rPr/>
            </w:pPr>
            <w:r>
              <w:rPr>
                <w:rFonts w:ascii="Consolas" w:hAnsi="Consolas" w:eastAsia="Consolas" w:cs="Consolas"/>
                <w:color w:val="222222"/>
                <w:sz w:val="18"/>
                <w:szCs w:val="18"/>
              </w:rPr>
            </w:r>
            <w:r/>
          </w:p>
          <w:p>
            <w:pPr>
              <w:pBdr/>
              <w:spacing w:after="0" w:line="250" w:lineRule="auto"/>
              <w:ind/>
              <w:rPr/>
            </w:pPr>
            <w:r>
              <w:rPr>
                <w:rFonts w:ascii="Consolas" w:hAnsi="Consolas" w:eastAsia="Consolas" w:cs="Consolas"/>
                <w:color w:val="222222"/>
                <w:sz w:val="18"/>
                <w:szCs w:val="18"/>
              </w:rPr>
              <w:t xml:space="preserve">report = ExplainableWarning(cfg).explain(</w:t>
            </w:r>
            <w:r/>
          </w:p>
          <w:p>
            <w:pPr>
              <w:pBdr/>
              <w:spacing w:after="0" w:line="250" w:lineRule="auto"/>
              <w:ind/>
              <w:rPr/>
            </w:pPr>
            <w:r>
              <w:rPr>
                <w:rFonts w:ascii="Consolas" w:hAnsi="Consolas" w:eastAsia="Consolas" w:cs="Consolas"/>
                <w:color w:val="222222"/>
                <w:sz w:val="18"/>
                <w:szCs w:val="18"/>
              </w:rPr>
              <w:t xml:space="preserve">    model, prediction, ts_features, news_features, event_features)</w:t>
            </w:r>
            <w:r/>
          </w:p>
        </w:tc>
      </w:tr>
    </w:tbl>
    <w:p>
      <w:pPr>
        <w:pStyle w:val="761"/>
        <w:keepNext w:val="true"/>
        <w:pBdr/>
        <w:spacing w:after="100" w:before="240"/>
        <w:ind/>
        <w:rPr/>
      </w:pPr>
      <w:r>
        <w:rPr>
          <w:rFonts w:ascii="Calibri" w:hAnsi="Calibri" w:eastAsia="Calibri" w:cs="Calibri"/>
          <w:b/>
          <w:bCs/>
          <w:color w:val="1f3864"/>
          <w:sz w:val="25"/>
          <w:szCs w:val="25"/>
        </w:rPr>
        <w:t xml:space="preserve">4.3 Shared conventions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426"/>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color w:val="ffffff"/>
                <w:sz w:val="19"/>
                <w:szCs w:val="19"/>
              </w:rPr>
              <w:t xml:space="preserve">Convention</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bCs/>
                <w:color w:val="ffffff"/>
                <w:sz w:val="19"/>
                <w:szCs w:val="19"/>
              </w:rPr>
              <w:t xml:space="preserve">Rule</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Independent ownership</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Each member owns, versions and tests their own library. Libraries in Persons 1–3 do not import each other.</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Common feature record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Every module outputs records keyed by entity identifier and timestamp, with a modality tag, feature values and metadata.</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Provenance metadata</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Every feature or event record carries a reference to its source (record, article or event identifier). Person 5 needs this to ground explanations in real evidence, so it is a requirement on Persons 1–3.</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Configuration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Parameters live in the shared configs/ folder, not in code.</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Testing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Unit tests per library in tests/, plus integration tests that run the full pipeline on a small sample.</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600" w:type="dxa"/>
            <w:vAlign w:val="top"/>
          </w:tcPr>
          <w:p>
            <w:pPr>
              <w:pBdr/>
              <w:spacing w:after="40" w:line="260" w:lineRule="auto"/>
              <w:ind/>
              <w:rPr/>
            </w:pPr>
            <w:r>
              <w:rPr>
                <w:rFonts w:ascii="Calibri" w:hAnsi="Calibri" w:eastAsia="Calibri" w:cs="Calibri"/>
                <w:b/>
                <w:bCs/>
                <w:sz w:val="19"/>
                <w:szCs w:val="19"/>
              </w:rPr>
              <w:t xml:space="preserve">Change control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6426" w:type="dxa"/>
            <w:vAlign w:val="top"/>
          </w:tcPr>
          <w:p>
            <w:pPr>
              <w:pBdr/>
              <w:spacing w:after="40" w:line="260" w:lineRule="auto"/>
              <w:ind/>
              <w:rPr/>
            </w:pPr>
            <w:r>
              <w:rPr>
                <w:rFonts w:ascii="Calibri" w:hAnsi="Calibri" w:eastAsia="Calibri" w:cs="Calibri"/>
                <w:b w:val="0"/>
                <w:bCs w:val="0"/>
                <w:sz w:val="19"/>
                <w:szCs w:val="19"/>
              </w:rPr>
              <w:t xml:space="preserve">Interface changes are agreed by all five members before they are merged.</w:t>
            </w:r>
            <w:r/>
          </w:p>
        </w:tc>
      </w:tr>
    </w:tbl>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5. Publication Plan for Paper 1</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7126"/>
      </w:tblGrid>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1f3864"/>
                <w:sz w:val="19"/>
                <w:szCs w:val="19"/>
              </w:rPr>
              <w:t xml:space="preserve">Proposed title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An Explainable Multimodal Framework for Early Warning of Supply-Chain Disruptions</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1f3864"/>
                <w:sz w:val="19"/>
                <w:szCs w:val="19"/>
              </w:rPr>
              <w:t xml:space="preserve">Represents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The integrated five-person project described in this document.</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1f3864"/>
                <w:sz w:val="19"/>
                <w:szCs w:val="19"/>
              </w:rPr>
              <w:t xml:space="preserve">Scope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pStyle w:val="752"/>
              <w:keepNext w:val="true"/>
              <w:numPr>
                <w:ilvl w:val="0"/>
                <w:numId w:val="2"/>
              </w:numPr>
              <w:pBdr/>
              <w:spacing w:after="30" w:line="260" w:lineRule="auto"/>
              <w:ind/>
              <w:rPr/>
            </w:pPr>
            <w:r>
              <w:rPr>
                <w:rFonts w:ascii="Calibri" w:hAnsi="Calibri" w:eastAsia="Calibri" w:cs="Calibri"/>
                <w:sz w:val="19"/>
                <w:szCs w:val="19"/>
              </w:rPr>
              <w:t xml:space="preserve">Overall architecture</w:t>
            </w:r>
            <w:r/>
          </w:p>
          <w:p>
            <w:pPr>
              <w:pStyle w:val="752"/>
              <w:keepNext w:val="true"/>
              <w:numPr>
                <w:ilvl w:val="0"/>
                <w:numId w:val="2"/>
              </w:numPr>
              <w:pBdr/>
              <w:spacing w:after="30" w:line="260" w:lineRule="auto"/>
              <w:ind/>
              <w:rPr/>
            </w:pPr>
            <w:r>
              <w:rPr>
                <w:rFonts w:ascii="Calibri" w:hAnsi="Calibri" w:eastAsia="Calibri" w:cs="Calibri"/>
                <w:sz w:val="19"/>
                <w:szCs w:val="19"/>
              </w:rPr>
              <w:t xml:space="preserve">Multiple data modalities</w:t>
            </w:r>
            <w:r/>
          </w:p>
          <w:p>
            <w:pPr>
              <w:pStyle w:val="752"/>
              <w:keepNext w:val="true"/>
              <w:numPr>
                <w:ilvl w:val="0"/>
                <w:numId w:val="2"/>
              </w:numPr>
              <w:pBdr/>
              <w:spacing w:after="30" w:line="260" w:lineRule="auto"/>
              <w:ind/>
              <w:rPr/>
            </w:pPr>
            <w:r>
              <w:rPr>
                <w:rFonts w:ascii="Calibri" w:hAnsi="Calibri" w:eastAsia="Calibri" w:cs="Calibri"/>
                <w:sz w:val="19"/>
                <w:szCs w:val="19"/>
              </w:rPr>
              <w:t xml:space="preserve">Feature extraction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Multimodal fusion</w:t>
            </w:r>
            <w:r/>
          </w:p>
          <w:p>
            <w:pPr>
              <w:pStyle w:val="752"/>
              <w:keepNext w:val="true"/>
              <w:numPr>
                <w:ilvl w:val="0"/>
                <w:numId w:val="2"/>
              </w:numPr>
              <w:pBdr/>
              <w:spacing w:after="30" w:line="260" w:lineRule="auto"/>
              <w:ind/>
              <w:rPr/>
            </w:pPr>
            <w:r>
              <w:rPr>
                <w:rFonts w:ascii="Calibri" w:hAnsi="Calibri" w:eastAsia="Calibri" w:cs="Calibri"/>
                <w:sz w:val="19"/>
                <w:szCs w:val="19"/>
              </w:rPr>
              <w:t xml:space="preserve">Early-warning prediction</w:t>
            </w:r>
            <w:r/>
          </w:p>
          <w:p>
            <w:pPr>
              <w:pStyle w:val="752"/>
              <w:keepNext w:val="true"/>
              <w:numPr>
                <w:ilvl w:val="0"/>
                <w:numId w:val="2"/>
              </w:numPr>
              <w:pBdr/>
              <w:spacing w:after="30" w:line="260" w:lineRule="auto"/>
              <w:ind/>
              <w:rPr/>
            </w:pPr>
            <w:r>
              <w:rPr>
                <w:rFonts w:ascii="Calibri" w:hAnsi="Calibri" w:eastAsia="Calibri" w:cs="Calibri"/>
                <w:sz w:val="19"/>
                <w:szCs w:val="19"/>
              </w:rPr>
              <w:t xml:space="preserve">General explainability</w:t>
            </w:r>
            <w:r/>
          </w:p>
          <w:p>
            <w:pPr>
              <w:pStyle w:val="752"/>
              <w:keepNext w:val="true"/>
              <w:numPr>
                <w:ilvl w:val="0"/>
                <w:numId w:val="2"/>
              </w:numPr>
              <w:pBdr/>
              <w:spacing w:after="30" w:line="260" w:lineRule="auto"/>
              <w:ind/>
              <w:rPr/>
            </w:pPr>
            <w:r>
              <w:rPr>
                <w:rFonts w:ascii="Calibri" w:hAnsi="Calibri" w:eastAsia="Calibri" w:cs="Calibri"/>
                <w:sz w:val="19"/>
                <w:szCs w:val="19"/>
              </w:rPr>
              <w:t xml:space="preserve">Overall experimental evaluation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true"/>
              <w:pBdr/>
              <w:spacing w:after="40" w:line="260" w:lineRule="auto"/>
              <w:ind/>
              <w:rPr/>
            </w:pPr>
            <w:r>
              <w:rPr>
                <w:rFonts w:ascii="Calibri" w:hAnsi="Calibri" w:eastAsia="Calibri" w:cs="Calibri"/>
                <w:b/>
                <w:bCs/>
                <w:color w:val="1f3864"/>
                <w:sz w:val="19"/>
                <w:szCs w:val="19"/>
              </w:rPr>
              <w:t xml:space="preserve">Central question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true"/>
              <w:pBdr/>
              <w:spacing w:after="40" w:line="260" w:lineRule="auto"/>
              <w:ind/>
              <w:rPr/>
            </w:pPr>
            <w:r>
              <w:rPr>
                <w:rFonts w:ascii="Calibri" w:hAnsi="Calibri" w:eastAsia="Calibri" w:cs="Calibri"/>
                <w:sz w:val="19"/>
                <w:szCs w:val="19"/>
              </w:rPr>
              <w:t xml:space="preserve">Does the integrated multimodal framework provide effective, explainable early warning?</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900" w:type="dxa"/>
            <w:vAlign w:val="top"/>
          </w:tcPr>
          <w:p>
            <w:pPr>
              <w:keepNext w:val="false"/>
              <w:pBdr/>
              <w:spacing w:after="40" w:line="260" w:lineRule="auto"/>
              <w:ind/>
              <w:rPr/>
            </w:pPr>
            <w:r>
              <w:rPr>
                <w:rFonts w:ascii="Calibri" w:hAnsi="Calibri" w:eastAsia="Calibri" w:cs="Calibri"/>
                <w:b/>
                <w:bCs/>
                <w:color w:val="1f3864"/>
                <w:sz w:val="19"/>
                <w:szCs w:val="19"/>
              </w:rPr>
              <w:t xml:space="preserve">Venue type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7126" w:type="dxa"/>
            <w:vAlign w:val="top"/>
          </w:tcPr>
          <w:p>
            <w:pPr>
              <w:keepNext w:val="false"/>
              <w:pBdr/>
              <w:spacing w:after="40" w:line="260" w:lineRule="auto"/>
              <w:ind/>
              <w:rPr/>
            </w:pPr>
            <w:r>
              <w:rPr>
                <w:rFonts w:ascii="Calibri" w:hAnsi="Calibri" w:eastAsia="Calibri" w:cs="Calibri"/>
                <w:sz w:val="19"/>
                <w:szCs w:val="19"/>
              </w:rPr>
              <w:t xml:space="preserve">Applied AI or supply-chain analytics venue. The final choice requires checking each venue’s scope, review criteria, page limits and deadlines.</w:t>
            </w:r>
            <w:r/>
          </w:p>
        </w:tc>
      </w:tr>
    </w:tbl>
    <w:p>
      <w:pPr>
        <w:pStyle w:val="761"/>
        <w:keepNext w:val="true"/>
        <w:pBdr/>
        <w:spacing w:after="100" w:before="240"/>
        <w:ind/>
        <w:rPr/>
      </w:pPr>
      <w:r>
        <w:rPr>
          <w:rFonts w:ascii="Calibri" w:hAnsi="Calibri" w:eastAsia="Calibri" w:cs="Calibri"/>
          <w:b/>
          <w:bCs/>
          <w:color w:val="1f3864"/>
          <w:sz w:val="25"/>
          <w:szCs w:val="25"/>
        </w:rPr>
        <w:t xml:space="preserve">5.1 Evaluation outline</w:t>
      </w:r>
      <w:r/>
    </w:p>
    <w:p>
      <w:pPr>
        <w:pBdr/>
        <w:spacing w:after="120" w:before="0" w:line="288" w:lineRule="auto"/>
        <w:ind/>
        <w:rPr/>
      </w:pPr>
      <w:r>
        <w:rPr>
          <w:rFonts w:ascii="Calibri" w:hAnsi="Calibri" w:eastAsia="Calibri" w:cs="Calibri"/>
          <w:sz w:val="21"/>
          <w:szCs w:val="21"/>
        </w:rPr>
        <w:t xml:space="preserve">The detailed experimental design of the explainability contribution belongs. Paper 1 evaluates the system as a whole:</w:t>
      </w:r>
      <w:r/>
    </w:p>
    <w:p>
      <w:pPr>
        <w:pStyle w:val="752"/>
        <w:numPr>
          <w:ilvl w:val="0"/>
          <w:numId w:val="2"/>
        </w:numPr>
        <w:pBdr/>
        <w:spacing w:after="60" w:line="276" w:lineRule="auto"/>
        <w:ind/>
        <w:rPr/>
      </w:pPr>
      <w:r>
        <w:rPr>
          <w:rFonts w:ascii="Calibri" w:hAnsi="Calibri" w:eastAsia="Calibri" w:cs="Calibri"/>
          <w:b/>
          <w:bCs/>
          <w:sz w:val="21"/>
          <w:szCs w:val="21"/>
        </w:rPr>
        <w:t xml:space="preserve">Modality ablation:</w:t>
      </w:r>
      <w:r>
        <w:rPr>
          <w:rFonts w:ascii="Calibri" w:hAnsi="Calibri" w:eastAsia="Calibri" w:cs="Calibri"/>
          <w:sz w:val="21"/>
          <w:szCs w:val="21"/>
        </w:rPr>
        <w:t xml:space="preserve"> structured only, news only, external events only, and their combinations.</w:t>
      </w:r>
      <w:r/>
    </w:p>
    <w:p>
      <w:pPr>
        <w:pStyle w:val="752"/>
        <w:numPr>
          <w:ilvl w:val="0"/>
          <w:numId w:val="2"/>
        </w:numPr>
        <w:pBdr/>
        <w:spacing w:after="60" w:line="276" w:lineRule="auto"/>
        <w:ind/>
        <w:rPr/>
      </w:pPr>
      <w:r>
        <w:rPr>
          <w:rFonts w:ascii="Calibri" w:hAnsi="Calibri" w:eastAsia="Calibri" w:cs="Calibri"/>
          <w:b/>
          <w:bCs/>
          <w:sz w:val="21"/>
          <w:szCs w:val="21"/>
        </w:rPr>
        <w:t xml:space="preserve">Fusion comparison:</w:t>
      </w:r>
      <w:r>
        <w:rPr>
          <w:rFonts w:ascii="Calibri" w:hAnsi="Calibri" w:eastAsia="Calibri" w:cs="Calibri"/>
          <w:sz w:val="21"/>
          <w:szCs w:val="21"/>
        </w:rPr>
        <w:t xml:space="preserve"> early, intermediate and late fusion on the same splits (Person 4).</w:t>
      </w:r>
      <w:r/>
    </w:p>
    <w:p>
      <w:pPr>
        <w:pStyle w:val="752"/>
        <w:numPr>
          <w:ilvl w:val="0"/>
          <w:numId w:val="2"/>
        </w:numPr>
        <w:pBdr/>
        <w:spacing w:after="60" w:line="276" w:lineRule="auto"/>
        <w:ind/>
        <w:rPr/>
      </w:pPr>
      <w:r>
        <w:rPr>
          <w:rFonts w:ascii="Calibri" w:hAnsi="Calibri" w:eastAsia="Calibri" w:cs="Calibri"/>
          <w:b/>
          <w:bCs/>
          <w:sz w:val="21"/>
          <w:szCs w:val="21"/>
        </w:rPr>
        <w:t xml:space="preserve">Prediction metrics:</w:t>
      </w:r>
      <w:r>
        <w:rPr>
          <w:rFonts w:ascii="Calibri" w:hAnsi="Calibri" w:eastAsia="Calibri" w:cs="Calibri"/>
          <w:sz w:val="21"/>
          <w:szCs w:val="21"/>
        </w:rPr>
        <w:t xml:space="preserve"> accuracy, precision, recall, F1, AUROC, AUPRC, false alarm rate and early-warning lead time.</w:t>
      </w:r>
      <w:r/>
    </w:p>
    <w:p>
      <w:pPr>
        <w:pStyle w:val="752"/>
        <w:numPr>
          <w:ilvl w:val="0"/>
          <w:numId w:val="2"/>
        </w:numPr>
        <w:pBdr/>
        <w:spacing w:after="60" w:line="276" w:lineRule="auto"/>
        <w:ind/>
        <w:rPr/>
      </w:pPr>
      <w:r>
        <w:rPr>
          <w:rFonts w:ascii="Calibri" w:hAnsi="Calibri" w:eastAsia="Calibri" w:cs="Calibri"/>
          <w:b/>
          <w:bCs/>
          <w:sz w:val="21"/>
          <w:szCs w:val="21"/>
        </w:rPr>
        <w:t xml:space="preserve">Protocol:</w:t>
      </w:r>
      <w:r>
        <w:rPr>
          <w:rFonts w:ascii="Calibri" w:hAnsi="Calibri" w:eastAsia="Calibri" w:cs="Calibri"/>
          <w:sz w:val="21"/>
          <w:szCs w:val="21"/>
        </w:rPr>
        <w:t xml:space="preserve"> time-based splits, leakage control for text and events dated after the prediction time, repeated runs and significance tests.</w:t>
      </w:r>
      <w:r/>
    </w:p>
    <w:p>
      <w:pPr>
        <w:pStyle w:val="752"/>
        <w:numPr>
          <w:ilvl w:val="0"/>
          <w:numId w:val="2"/>
        </w:numPr>
        <w:pBdr/>
        <w:spacing w:after="60" w:line="276" w:lineRule="auto"/>
        <w:ind/>
        <w:rPr/>
      </w:pPr>
      <w:r>
        <w:rPr>
          <w:rFonts w:ascii="Calibri" w:hAnsi="Calibri" w:eastAsia="Calibri" w:cs="Calibri"/>
          <w:b/>
          <w:bCs/>
          <w:sz w:val="21"/>
          <w:szCs w:val="21"/>
        </w:rPr>
        <w:t xml:space="preserve">Explainability:</w:t>
      </w:r>
      <w:r>
        <w:rPr>
          <w:rFonts w:ascii="Calibri" w:hAnsi="Calibri" w:eastAsia="Calibri" w:cs="Calibri"/>
          <w:sz w:val="21"/>
          <w:szCs w:val="21"/>
        </w:rPr>
        <w:t xml:space="preserve"> standard attribution reported as one component of the framework.</w:t>
      </w:r>
      <w:r/>
    </w:p>
    <w:p>
      <w:pPr>
        <w:pStyle w:val="761"/>
        <w:keepNext w:val="true"/>
        <w:pBdr/>
        <w:spacing w:after="100" w:before="240"/>
        <w:ind/>
        <w:rPr/>
      </w:pPr>
      <w:r>
        <w:rPr>
          <w:rFonts w:ascii="Calibri" w:hAnsi="Calibri" w:eastAsia="Calibri" w:cs="Calibri"/>
          <w:b/>
          <w:bCs/>
          <w:color w:val="1f3864"/>
          <w:sz w:val="25"/>
          <w:szCs w:val="25"/>
        </w:rPr>
        <w:t xml:space="preserve">5.2 Relation to Paper 2</w:t>
      </w:r>
      <w:r/>
    </w:p>
    <w:p>
      <w:pPr>
        <w:pBdr/>
        <w:spacing w:after="120" w:before="0" w:line="288" w:lineRule="auto"/>
        <w:ind/>
        <w:rPr/>
      </w:pPr>
      <w:r>
        <w:rPr>
          <w:rFonts w:ascii="Calibri" w:hAnsi="Calibri" w:eastAsia="Calibri" w:cs="Calibri"/>
          <w:sz w:val="21"/>
          <w:szCs w:val="21"/>
        </w:rPr>
        <w:t xml:space="preserve">Paper 2 is a separate paper written from the companion document. It must not repeat Paper 1: it investigates a narrower question </w:t>
      </w:r>
      <w:r>
        <w:rPr>
          <w:rFonts w:ascii="Calibri" w:hAnsi="Calibri" w:eastAsia="Calibri" w:cs="Calibri"/>
          <w:sz w:val="21"/>
          <w:szCs w:val="21"/>
        </w:rPr>
        <w:t xml:space="preserve">with deeper methodology and its own experiments. Paper 2 cites Paper 1 for the framework, overlap is disclosed to venues according to their policies, and authorship for both papers is agreed with the supervisor early, based on actual contribution.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cantSplit/>
        </w:trPr>
        <w:tc>
          <w:tcPr>
            <w:shd w:val="clear" w:color="auto" w:fill="e8edf6"/>
            <w:tcBorders>
              <w:top w:val="single" w:color="e8edf6" w:sz="4" w:space="0"/>
              <w:left w:val="single" w:color="1f3864" w:sz="24" w:space="0"/>
              <w:bottom w:val="single" w:color="e8edf6" w:sz="4" w:space="0"/>
              <w:right w:val="single" w:color="e8edf6" w:sz="4" w:space="0"/>
            </w:tcBorders>
            <w:tcMar>
              <w:left w:w="200" w:type="dxa"/>
              <w:top w:w="110" w:type="dxa"/>
              <w:right w:w="160" w:type="dxa"/>
              <w:bottom w:w="90" w:type="dxa"/>
            </w:tcMar>
            <w:tcW w:w="9026" w:type="dxa"/>
          </w:tcPr>
          <w:p>
            <w:pPr>
              <w:pBdr/>
              <w:spacing w:after="60"/>
              <w:ind/>
              <w:rPr/>
            </w:pPr>
            <w:r>
              <w:rPr>
                <w:rFonts w:ascii="Calibri" w:hAnsi="Calibri" w:eastAsia="Calibri" w:cs="Calibri"/>
                <w:b/>
                <w:bCs/>
                <w:color w:val="1f3864"/>
                <w:sz w:val="20"/>
                <w:szCs w:val="20"/>
              </w:rPr>
              <w:t xml:space="preserve">Publication readiness</w:t>
            </w:r>
            <w:r/>
          </w:p>
          <w:p>
            <w:pPr>
              <w:pBdr/>
              <w:spacing w:after="40" w:line="260" w:lineRule="auto"/>
              <w:ind/>
              <w:rPr/>
            </w:pPr>
            <w:r>
              <w:rPr>
                <w:rFonts w:ascii="Calibri" w:hAnsi="Calibri" w:eastAsia="Calibri" w:cs="Calibri"/>
                <w:sz w:val="19"/>
                <w:szCs w:val="19"/>
              </w:rPr>
              <w:t xml:space="preserve">Final publication quality depends on </w:t>
            </w:r>
            <w:r>
              <w:rPr>
                <w:rFonts w:ascii="Calibri" w:hAnsi="Calibri" w:eastAsia="Calibri" w:cs="Calibri"/>
                <w:b/>
                <w:bCs/>
                <w:sz w:val="19"/>
                <w:szCs w:val="19"/>
              </w:rPr>
              <w:t xml:space="preserve">actual novelty, experimental rigour, datasets, baselines, results and the target venue’s requirements</w:t>
            </w:r>
            <w:r>
              <w:rPr>
                <w:rFonts w:ascii="Calibri" w:hAnsi="Calibri" w:eastAsia="Calibri" w:cs="Calibri"/>
                <w:sz w:val="19"/>
                <w:szCs w:val="19"/>
              </w:rPr>
              <w:t xml:space="preserve">. This document makes no claim about acceptance or impact.</w:t>
            </w:r>
            <w:r/>
          </w:p>
        </w:tc>
      </w:tr>
    </w:tbl>
    <w:p>
      <w:pPr>
        <w:pBdr/>
        <w:spacing/>
        <w:ind/>
        <w:rPr/>
      </w:pPr>
      <w:r>
        <w:br w:type="page" w:clear="all"/>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6. Contribution Mapping</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400"/>
        <w:gridCol w:w="2300"/>
        <w:gridCol w:w="900"/>
        <w:gridCol w:w="2226"/>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color w:val="ffffff"/>
                <w:sz w:val="19"/>
                <w:szCs w:val="19"/>
              </w:rPr>
              <w:t xml:space="preserve">Team member</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color w:val="ffffff"/>
                <w:sz w:val="19"/>
                <w:szCs w:val="19"/>
              </w:rPr>
              <w:t xml:space="preserve">Technical module</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bCs/>
                <w:color w:val="ffffff"/>
                <w:sz w:val="19"/>
                <w:szCs w:val="19"/>
              </w:rPr>
              <w:t xml:space="preserve">Library</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bCs/>
                <w:color w:val="ffffff"/>
                <w:sz w:val="19"/>
                <w:szCs w:val="19"/>
              </w:rPr>
              <w:t xml:space="preserve">Coding</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bCs/>
                <w:color w:val="ffffff"/>
                <w:sz w:val="19"/>
                <w:szCs w:val="19"/>
              </w:rPr>
              <w:t xml:space="preserve">Research contribution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sz w:val="19"/>
                <w:szCs w:val="19"/>
              </w:rPr>
              <w:t xml:space="preserve">Person 1</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val="0"/>
                <w:bCs w:val="0"/>
                <w:sz w:val="19"/>
                <w:szCs w:val="19"/>
              </w:rPr>
              <w:t xml:space="preserve">Time-Series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val="0"/>
                <w:bCs w:val="0"/>
                <w:sz w:val="19"/>
                <w:szCs w:val="19"/>
              </w:rPr>
              <w:t xml:space="preserve">SupplyChainTimeSeries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val="0"/>
                <w:bCs w:val="0"/>
                <w:sz w:val="19"/>
                <w:szCs w:val="19"/>
              </w:rPr>
              <w:t xml:space="preserve">Yes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val="0"/>
                <w:bCs w:val="0"/>
                <w:sz w:val="19"/>
                <w:szCs w:val="19"/>
              </w:rPr>
              <w:t xml:space="preserve">Temporal risk representation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sz w:val="19"/>
                <w:szCs w:val="19"/>
              </w:rPr>
              <w:t xml:space="preserve">Person 2</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val="0"/>
                <w:bCs w:val="0"/>
                <w:sz w:val="19"/>
                <w:szCs w:val="19"/>
              </w:rPr>
              <w:t xml:space="preserve">NLP</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val="0"/>
                <w:bCs w:val="0"/>
                <w:sz w:val="19"/>
                <w:szCs w:val="19"/>
              </w:rPr>
              <w:t xml:space="preserve">SupplyChainNLP</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val="0"/>
                <w:bCs w:val="0"/>
                <w:sz w:val="19"/>
                <w:szCs w:val="19"/>
              </w:rPr>
              <w:t xml:space="preserve">Yes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val="0"/>
                <w:bCs w:val="0"/>
                <w:sz w:val="19"/>
                <w:szCs w:val="19"/>
              </w:rPr>
              <w:t xml:space="preserve">Text-based disruption intelligence</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sz w:val="19"/>
                <w:szCs w:val="19"/>
              </w:rPr>
              <w:t xml:space="preserve">Person 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val="0"/>
                <w:bCs w:val="0"/>
                <w:sz w:val="19"/>
                <w:szCs w:val="19"/>
              </w:rPr>
              <w:t xml:space="preserve">Event / Spatial</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val="0"/>
                <w:bCs w:val="0"/>
                <w:sz w:val="19"/>
                <w:szCs w:val="19"/>
              </w:rPr>
              <w:t xml:space="preserve">SupplyChainEventRisk</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val="0"/>
                <w:bCs w:val="0"/>
                <w:sz w:val="19"/>
                <w:szCs w:val="19"/>
              </w:rPr>
              <w:t xml:space="preserve">Yes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val="0"/>
                <w:bCs w:val="0"/>
                <w:sz w:val="19"/>
                <w:szCs w:val="19"/>
              </w:rPr>
              <w:t xml:space="preserve">External-event impact modelling</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sz w:val="19"/>
                <w:szCs w:val="19"/>
              </w:rPr>
              <w:t xml:space="preserve">Person 4</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val="0"/>
                <w:bCs w:val="0"/>
                <w:sz w:val="19"/>
                <w:szCs w:val="19"/>
              </w:rPr>
              <w:t xml:space="preserve">Multimodal Fusion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val="0"/>
                <w:bCs w:val="0"/>
                <w:sz w:val="19"/>
                <w:szCs w:val="19"/>
              </w:rPr>
              <w:t xml:space="preserve">MultimodalWarning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val="0"/>
                <w:bCs w:val="0"/>
                <w:sz w:val="19"/>
                <w:szCs w:val="19"/>
              </w:rPr>
              <w:t xml:space="preserve">Yes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val="0"/>
                <w:bCs w:val="0"/>
                <w:sz w:val="19"/>
                <w:szCs w:val="19"/>
              </w:rPr>
              <w:t xml:space="preserve">Early-warning prediction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1200" w:type="dxa"/>
            <w:vAlign w:val="top"/>
          </w:tcPr>
          <w:p>
            <w:pPr>
              <w:pBdr/>
              <w:spacing w:after="40" w:line="260" w:lineRule="auto"/>
              <w:ind/>
              <w:rPr/>
            </w:pPr>
            <w:r>
              <w:rPr>
                <w:rFonts w:ascii="Calibri" w:hAnsi="Calibri" w:eastAsia="Calibri" w:cs="Calibri"/>
                <w:b/>
                <w:bCs/>
                <w:sz w:val="19"/>
                <w:szCs w:val="19"/>
              </w:rPr>
              <w:t xml:space="preserve">Person 5</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val="0"/>
                <w:bCs w:val="0"/>
                <w:sz w:val="19"/>
                <w:szCs w:val="19"/>
              </w:rPr>
              <w:t xml:space="preserve">XAI + Evidence + Uncertainty</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300" w:type="dxa"/>
            <w:vAlign w:val="top"/>
          </w:tcPr>
          <w:p>
            <w:pPr>
              <w:pBdr/>
              <w:spacing w:after="40" w:line="260" w:lineRule="auto"/>
              <w:ind/>
              <w:rPr/>
            </w:pPr>
            <w:r>
              <w:rPr>
                <w:rFonts w:ascii="Calibri" w:hAnsi="Calibri" w:eastAsia="Calibri" w:cs="Calibri"/>
                <w:b w:val="0"/>
                <w:bCs w:val="0"/>
                <w:sz w:val="19"/>
                <w:szCs w:val="19"/>
              </w:rPr>
              <w:t xml:space="preserve">ExplainableWarning</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900" w:type="dxa"/>
            <w:vAlign w:val="top"/>
          </w:tcPr>
          <w:p>
            <w:pPr>
              <w:pBdr/>
              <w:spacing w:after="40" w:line="260" w:lineRule="auto"/>
              <w:ind/>
              <w:rPr/>
            </w:pPr>
            <w:r>
              <w:rPr>
                <w:rFonts w:ascii="Calibri" w:hAnsi="Calibri" w:eastAsia="Calibri" w:cs="Calibri"/>
                <w:b w:val="0"/>
                <w:bCs w:val="0"/>
                <w:sz w:val="19"/>
                <w:szCs w:val="19"/>
              </w:rPr>
              <w:t xml:space="preserve">Yes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226" w:type="dxa"/>
            <w:vAlign w:val="top"/>
          </w:tcPr>
          <w:p>
            <w:pPr>
              <w:pBdr/>
              <w:spacing w:after="40" w:line="260" w:lineRule="auto"/>
              <w:ind/>
              <w:rPr/>
            </w:pPr>
            <w:r>
              <w:rPr>
                <w:rFonts w:ascii="Calibri" w:hAnsi="Calibri" w:eastAsia="Calibri" w:cs="Calibri"/>
                <w:b w:val="0"/>
                <w:bCs w:val="0"/>
                <w:sz w:val="19"/>
                <w:szCs w:val="19"/>
              </w:rPr>
              <w:t xml:space="preserve">Explainable and uncertainty-aware warning</w:t>
            </w:r>
            <w:r/>
          </w:p>
        </w:tc>
      </w:tr>
    </w:tbl>
    <w:p>
      <w:pPr>
        <w:pBdr/>
        <w:spacing w:after="120" w:before="100" w:line="288" w:lineRule="auto"/>
        <w:ind/>
        <w:rPr/>
      </w:pPr>
      <w:r>
        <w:rPr>
          <w:rFonts w:ascii="Calibri" w:hAnsi="Calibri" w:eastAsia="Calibri" w:cs="Calibri"/>
          <w:sz w:val="21"/>
          <w:szCs w:val="21"/>
        </w:rPr>
        <w:t xml:space="preserve">All five members have </w:t>
      </w:r>
      <w:r>
        <w:rPr>
          <w:rFonts w:ascii="Calibri" w:hAnsi="Calibri" w:eastAsia="Calibri" w:cs="Calibri"/>
          <w:b/>
          <w:bCs/>
          <w:sz w:val="21"/>
          <w:szCs w:val="21"/>
        </w:rPr>
        <w:t xml:space="preserve">independent code ownership</w:t>
      </w:r>
      <w:r>
        <w:rPr>
          <w:rFonts w:ascii="Calibri" w:hAnsi="Calibri" w:eastAsia="Calibri" w:cs="Calibri"/>
          <w:sz w:val="21"/>
          <w:szCs w:val="21"/>
        </w:rPr>
        <w:t xml:space="preserve"> and an </w:t>
      </w:r>
      <w:r>
        <w:rPr>
          <w:rFonts w:ascii="Calibri" w:hAnsi="Calibri" w:eastAsia="Calibri" w:cs="Calibri"/>
          <w:b/>
          <w:bCs/>
          <w:sz w:val="21"/>
          <w:szCs w:val="21"/>
        </w:rPr>
        <w:t xml:space="preserve">individual research contribution</w:t>
      </w:r>
      <w:r>
        <w:rPr>
          <w:rFonts w:ascii="Calibri" w:hAnsi="Calibri" w:eastAsia="Calibri" w:cs="Calibri"/>
          <w:sz w:val="21"/>
          <w:szCs w:val="21"/>
        </w:rPr>
        <w:t xml:space="preserve">.</w:t>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7. Final End-to-End Architecture</w:t>
      </w:r>
      <w:r/>
    </w:p>
    <w:p>
      <w:pPr>
        <w:keepNext w:val="true"/>
        <w:pBdr/>
        <w:spacing w:after="120" w:before="0" w:line="288" w:lineRule="auto"/>
        <w:ind/>
        <w:rPr/>
      </w:pPr>
      <w:r>
        <w:rPr>
          <w:rFonts w:ascii="Calibri" w:hAnsi="Calibri" w:eastAsia="Calibri" w:cs="Calibri"/>
          <w:sz w:val="21"/>
          <w:szCs w:val="21"/>
        </w:rPr>
        <w:t xml:space="preserve">Figure 2 combines the five libraries, the sh</w:t>
      </w:r>
      <w:r>
        <w:rPr>
          <w:rFonts w:ascii="Calibri" w:hAnsi="Calibri" w:eastAsia="Calibri" w:cs="Calibri"/>
          <w:sz w:val="21"/>
          <w:szCs w:val="21"/>
        </w:rPr>
        <w:t xml:space="preserve">ared pipeline, and the Person 5 module that turns a prediction into risk, confidence, evidence and explanation. The dashed line marks the module’s access to input features and source records, which is why provenance metadata (Section 4.3) is a requirement.</w:t>
      </w:r>
      <w:r/>
    </w:p>
    <w:p>
      <w:pPr>
        <w:keepNext w:val="true"/>
        <w:pBdr/>
        <w:spacing w:after="40" w:before="60"/>
        <w:ind/>
        <w:jc w:val="center"/>
        <w:rPr/>
      </w:pPr>
      <w:r>
        <mc:AlternateContent>
          <mc:Choice Requires="wpg">
            <w:drawing>
              <wp:inline xmlns:wp="http://schemas.openxmlformats.org/drawingml/2006/wordprocessingDrawing" distT="0" distB="0" distL="0" distR="0">
                <wp:extent cx="3190875" cy="4086225"/>
                <wp:effectExtent l="0" t="0" r="0" b="0"/>
                <wp:docPr id="2" name="diagram3.png" descr="Architecture diagram" title="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190875" cy="4086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1.25pt;height:321.75pt;mso-wrap-distance-left:0.00pt;mso-wrap-distance-top:0.00pt;mso-wrap-distance-right:0.00pt;mso-wrap-distance-bottom:0.00pt;z-index:1;" stroked="false">
                <v:imagedata r:id="rId13" o:title=""/>
                <o:lock v:ext="edit" rotation="t"/>
              </v:shape>
            </w:pict>
          </mc:Fallback>
        </mc:AlternateContent>
      </w:r>
      <w:r/>
    </w:p>
    <w:p>
      <w:pPr>
        <w:pBdr/>
        <w:spacing w:after="200" w:before="60"/>
        <w:ind/>
        <w:jc w:val="center"/>
        <w:rPr/>
      </w:pPr>
      <w:r>
        <w:rPr>
          <w:rFonts w:ascii="Calibri" w:hAnsi="Calibri" w:eastAsia="Calibri" w:cs="Calibri"/>
          <w:i/>
          <w:iCs/>
          <w:color w:val="595959"/>
          <w:sz w:val="18"/>
          <w:szCs w:val="18"/>
        </w:rPr>
        <w:t xml:space="preserve">Figure 2. Final end-to-end architecture. Colours indicate the owning library.</w:t>
      </w:r>
      <w:r/>
    </w:p>
    <w:p>
      <w:pPr>
        <w:pBdr/>
        <w:spacing/>
        <w:ind/>
        <w:rPr/>
      </w:pPr>
      <w:r>
        <w:br w:type="page" w:clear="all"/>
      </w:r>
      <w:r/>
    </w:p>
    <w:p>
      <w:pPr>
        <w:pStyle w:val="760"/>
        <w:keepNext w:val="true"/>
        <w:pBdr>
          <w:bottom w:val="single" w:color="1f3864" w:sz="8" w:space="3"/>
        </w:pBdr>
        <w:spacing w:after="140" w:before="360"/>
        <w:ind/>
        <w:rPr/>
      </w:pPr>
      <w:r>
        <w:rPr>
          <w:rFonts w:ascii="Calibri" w:hAnsi="Calibri" w:eastAsia="Calibri" w:cs="Calibri"/>
          <w:b/>
          <w:bCs/>
          <w:color w:val="1f3864"/>
          <w:sz w:val="30"/>
          <w:szCs w:val="30"/>
        </w:rPr>
        <w:t xml:space="preserve">8. Risks and Open Decisions</w:t>
      </w:r>
      <w:r/>
    </w:p>
    <w:p>
      <w:pPr>
        <w:pStyle w:val="761"/>
        <w:keepNext w:val="true"/>
        <w:pBdr/>
        <w:spacing w:after="100" w:before="240"/>
        <w:ind/>
        <w:rPr/>
      </w:pPr>
      <w:r>
        <w:rPr>
          <w:rFonts w:ascii="Calibri" w:hAnsi="Calibri" w:eastAsia="Calibri" w:cs="Calibri"/>
          <w:b/>
          <w:bCs/>
          <w:color w:val="1f3864"/>
          <w:sz w:val="25"/>
          <w:szCs w:val="25"/>
        </w:rPr>
        <w:t xml:space="preserve">Risks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00"/>
        <w:gridCol w:w="3226"/>
      </w:tblGrid>
      <w:tr>
        <w:trPr>
          <w:cantSplit/>
          <w:tblHeader/>
        </w:trPr>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color w:val="ffffff"/>
                <w:sz w:val="19"/>
                <w:szCs w:val="19"/>
              </w:rPr>
              <w:t xml:space="preserve">Risk</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bCs/>
                <w:color w:val="ffffff"/>
                <w:sz w:val="19"/>
                <w:szCs w:val="19"/>
              </w:rPr>
              <w:t xml:space="preserve">Why it matters</w:t>
            </w:r>
            <w:r/>
          </w:p>
        </w:tc>
        <w:tc>
          <w:tcPr>
            <w:shd w:val="clear" w:color="auto" w:fill="1f3864"/>
            <w:tcBorders>
              <w:top w:val="single" w:color="1f3864" w:sz="4" w:space="0"/>
              <w:left w:val="single" w:color="1f3864" w:sz="4" w:space="0"/>
              <w:bottom w:val="single" w:color="1f3864" w:sz="4" w:space="0"/>
              <w:right w:val="single" w:color="1f3864"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bCs/>
                <w:color w:val="ffffff"/>
                <w:sz w:val="19"/>
                <w:szCs w:val="19"/>
              </w:rPr>
              <w:t xml:space="preserve">Mitigation</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sz w:val="19"/>
                <w:szCs w:val="19"/>
              </w:rPr>
              <w:t xml:space="preserve">Ground-truth disruption labels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val="0"/>
                <w:bCs w:val="0"/>
                <w:sz w:val="19"/>
                <w:szCs w:val="19"/>
              </w:rPr>
              <w:t xml:space="preserve">Supervised early warning needs reliable labels for when disruptions occurred; these are often hard to obtain.</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val="0"/>
                <w:bCs w:val="0"/>
                <w:sz w:val="19"/>
                <w:szCs w:val="19"/>
              </w:rPr>
              <w:t xml:space="preserve">Decide the label source early (curated disruption records or event-derived labels). If semi-synthetic data is used, state it clearly.</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sz w:val="19"/>
                <w:szCs w:val="19"/>
              </w:rPr>
              <w:t xml:space="preserve">Data licensing and coverage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val="0"/>
                <w:bCs w:val="0"/>
                <w:sz w:val="19"/>
                <w:szCs w:val="19"/>
              </w:rPr>
              <w:t xml:space="preserve">Some sources restrict redistribution or lack coverage for the chosen region or products.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val="0"/>
                <w:bCs w:val="0"/>
                <w:sz w:val="19"/>
                <w:szCs w:val="19"/>
              </w:rPr>
              <w:t xml:space="preserve">Check licences before committing; keep the scope narrow enough to be well covered.</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sz w:val="19"/>
                <w:szCs w:val="19"/>
              </w:rPr>
              <w:t xml:space="preserve">Missing modalities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val="0"/>
                <w:bCs w:val="0"/>
                <w:sz w:val="19"/>
                <w:szCs w:val="19"/>
              </w:rPr>
              <w:t xml:space="preserve">News or events may be absent for some entities and periods.</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val="0"/>
                <w:bCs w:val="0"/>
                <w:sz w:val="19"/>
                <w:szCs w:val="19"/>
              </w:rPr>
              <w:t xml:space="preserve">Design fusion to handle missing modalities and test it.</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sz w:val="19"/>
                <w:szCs w:val="19"/>
              </w:rPr>
              <w:t xml:space="preserve">Interface drift</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val="0"/>
                <w:bCs w:val="0"/>
                <w:sz w:val="19"/>
                <w:szCs w:val="19"/>
              </w:rPr>
              <w:t xml:space="preserve">Five independently developed libraries can diverge.</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val="0"/>
                <w:bCs w:val="0"/>
                <w:sz w:val="19"/>
                <w:szCs w:val="19"/>
              </w:rPr>
              <w:t xml:space="preserve">Fix the common feature record early (Section 4.3) and run integration tests.</w:t>
            </w:r>
            <w:r/>
          </w:p>
        </w:tc>
      </w:tr>
      <w:tr>
        <w:trPr>
          <w:cantSplit/>
        </w:trPr>
        <w:tc>
          <w:tcPr>
            <w:shd w:val="clear" w:color="auto" w:fill="e8edf6"/>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2400" w:type="dxa"/>
            <w:vAlign w:val="top"/>
          </w:tcPr>
          <w:p>
            <w:pPr>
              <w:pBdr/>
              <w:spacing w:after="40" w:line="260" w:lineRule="auto"/>
              <w:ind/>
              <w:rPr/>
            </w:pPr>
            <w:r>
              <w:rPr>
                <w:rFonts w:ascii="Calibri" w:hAnsi="Calibri" w:eastAsia="Calibri" w:cs="Calibri"/>
                <w:b/>
                <w:bCs/>
                <w:sz w:val="19"/>
                <w:szCs w:val="19"/>
              </w:rPr>
              <w:t xml:space="preserve">Uneven workload</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400" w:type="dxa"/>
            <w:vAlign w:val="top"/>
          </w:tcPr>
          <w:p>
            <w:pPr>
              <w:pBdr/>
              <w:spacing w:after="40" w:line="260" w:lineRule="auto"/>
              <w:ind/>
              <w:rPr/>
            </w:pPr>
            <w:r>
              <w:rPr>
                <w:rFonts w:ascii="Calibri" w:hAnsi="Calibri" w:eastAsia="Calibri" w:cs="Calibri"/>
                <w:b w:val="0"/>
                <w:bCs w:val="0"/>
                <w:sz w:val="19"/>
                <w:szCs w:val="19"/>
              </w:rPr>
              <w:t xml:space="preserve">Fusion and explanation depend on the outputs of Persons 1–3.</w:t>
            </w:r>
            <w:r/>
          </w:p>
        </w:tc>
        <w:tc>
          <w:tcPr>
            <w:tcBorders>
              <w:top w:val="single" w:color="bfbfbf" w:sz="4" w:space="0"/>
              <w:left w:val="single" w:color="bfbfbf" w:sz="4" w:space="0"/>
              <w:bottom w:val="single" w:color="bfbfbf" w:sz="4" w:space="0"/>
              <w:right w:val="single" w:color="bfbfbf" w:sz="4" w:space="0"/>
            </w:tcBorders>
            <w:tcMar>
              <w:left w:w="110" w:type="dxa"/>
              <w:top w:w="70" w:type="dxa"/>
              <w:right w:w="110" w:type="dxa"/>
              <w:bottom w:w="70" w:type="dxa"/>
            </w:tcMar>
            <w:tcW w:w="3226" w:type="dxa"/>
            <w:vAlign w:val="top"/>
          </w:tcPr>
          <w:p>
            <w:pPr>
              <w:pBdr/>
              <w:spacing w:after="40" w:line="260" w:lineRule="auto"/>
              <w:ind/>
              <w:rPr/>
            </w:pPr>
            <w:r>
              <w:rPr>
                <w:rFonts w:ascii="Calibri" w:hAnsi="Calibri" w:eastAsia="Calibri" w:cs="Calibri"/>
                <w:b w:val="0"/>
                <w:bCs w:val="0"/>
                <w:sz w:val="19"/>
                <w:szCs w:val="19"/>
              </w:rPr>
              <w:t xml:space="preserve">Agree interfaces and sample data in the first weeks so Persons 4 and 5 can start on mock inputs.</w:t>
            </w:r>
            <w:r/>
          </w:p>
        </w:tc>
      </w:tr>
    </w:tbl>
    <w:p>
      <w:pPr>
        <w:pStyle w:val="761"/>
        <w:keepNext w:val="true"/>
        <w:pBdr/>
        <w:spacing w:after="100" w:before="240"/>
        <w:ind/>
        <w:rPr/>
      </w:pPr>
      <w:r>
        <w:rPr>
          <w:rFonts w:ascii="Calibri" w:hAnsi="Calibri" w:eastAsia="Calibri" w:cs="Calibri"/>
          <w:b/>
          <w:bCs/>
          <w:color w:val="1f3864"/>
          <w:sz w:val="25"/>
          <w:szCs w:val="25"/>
        </w:rPr>
        <w:t xml:space="preserve">Open decisions</w:t>
      </w:r>
      <w:r/>
    </w:p>
    <w:p>
      <w:pPr>
        <w:pStyle w:val="752"/>
        <w:numPr>
          <w:ilvl w:val="0"/>
          <w:numId w:val="2"/>
        </w:numPr>
        <w:pBdr/>
        <w:spacing w:after="60" w:line="276" w:lineRule="auto"/>
        <w:ind/>
        <w:rPr/>
      </w:pPr>
      <w:r>
        <w:rPr>
          <w:rFonts w:ascii="Calibri" w:hAnsi="Calibri" w:eastAsia="Calibri" w:cs="Calibri"/>
          <w:sz w:val="21"/>
          <w:szCs w:val="21"/>
        </w:rPr>
        <w:t xml:space="preserve">Dataset sources, domain and region scope, and the label strategy.</w:t>
      </w:r>
      <w:r/>
    </w:p>
    <w:p>
      <w:pPr>
        <w:pStyle w:val="752"/>
        <w:numPr>
          <w:ilvl w:val="0"/>
          <w:numId w:val="2"/>
        </w:numPr>
        <w:pBdr/>
        <w:spacing w:after="60" w:line="276" w:lineRule="auto"/>
        <w:ind/>
        <w:rPr/>
      </w:pPr>
      <w:r>
        <w:rPr>
          <w:rFonts w:ascii="Calibri" w:hAnsi="Calibri" w:eastAsia="Calibri" w:cs="Calibri"/>
          <w:sz w:val="21"/>
          <w:szCs w:val="21"/>
        </w:rPr>
        <w:t xml:space="preserve">Prediction horizons and risk-level thresholds.</w:t>
      </w:r>
      <w:r/>
    </w:p>
    <w:p>
      <w:pPr>
        <w:pStyle w:val="752"/>
        <w:numPr>
          <w:ilvl w:val="0"/>
          <w:numId w:val="2"/>
        </w:numPr>
        <w:pBdr/>
        <w:spacing w:after="60" w:line="276" w:lineRule="auto"/>
        <w:ind/>
        <w:rPr/>
      </w:pPr>
      <w:r>
        <w:rPr>
          <w:rFonts w:ascii="Calibri" w:hAnsi="Calibri" w:eastAsia="Calibri" w:cs="Calibri"/>
          <w:sz w:val="21"/>
          <w:szCs w:val="21"/>
        </w:rPr>
        <w:t xml:space="preserve">Authorship policy for both papers, agreed with the supervisor.</w:t>
      </w:r>
      <w:r/>
    </w:p>
    <w:p>
      <w:pPr>
        <w:pStyle w:val="752"/>
        <w:numPr>
          <w:ilvl w:val="0"/>
          <w:numId w:val="2"/>
        </w:numPr>
        <w:pBdr/>
        <w:spacing w:after="60" w:line="276" w:lineRule="auto"/>
        <w:ind/>
        <w:rPr/>
      </w:pPr>
      <w:r>
        <w:rPr>
          <w:rFonts w:ascii="Calibri" w:hAnsi="Calibri" w:eastAsia="Calibri" w:cs="Calibri"/>
          <w:sz w:val="21"/>
          <w:szCs w:val="21"/>
        </w:rPr>
        <w:t xml:space="preserve">Shortlist of target venues for each paper.</w:t>
      </w:r>
      <w:r/>
    </w:p>
    <w:p>
      <w:pPr>
        <w:pStyle w:val="752"/>
        <w:numPr>
          <w:ilvl w:val="0"/>
          <w:numId w:val="2"/>
        </w:numPr>
        <w:pBdr/>
        <w:spacing w:after="60" w:line="276" w:lineRule="auto"/>
        <w:ind/>
        <w:rPr/>
      </w:pPr>
      <w:r>
        <w:rPr>
          <w:rFonts w:ascii="Calibri" w:hAnsi="Calibri" w:eastAsia="Calibri" w:cs="Calibri"/>
          <w:sz w:val="21"/>
          <w:szCs w:val="21"/>
        </w:rPr>
        <w:t xml:space="preserve">Confirmation of the proposed library interfaces in the first integration meeting.</w:t>
      </w:r>
      <w:r/>
    </w:p>
    <w:sectPr>
      <w:headerReference w:type="default" r:id="rId9"/>
      <w:footerReference w:type="default" r:id="rId11"/>
      <w:footnotePr/>
      <w:endnotePr/>
      <w:type w:val="nextPage"/>
      <w:pgSz w:h="16838" w:orient="portrait" w:w="11906"/>
      <w:pgMar w:top="1300" w:right="1440" w:bottom="12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instrText xml:space="preserve">PAGE</w:instrText>
      <w:fldChar w:fldCharType="separate"/>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instrText xml:space="preserve">PAGE</w:instrText>
      <w:fldChar w:fldCharType="separate"/>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1f3864" w:sz="8" w:space="4"/>
      </w:pBdr>
      <w:spacing w:after="0"/>
      <w:ind/>
      <w:rPr/>
    </w:pPr>
    <w:r>
      <w:rPr>
        <w:rFonts w:ascii="Calibri" w:hAnsi="Calibri" w:eastAsia="Calibri" w:cs="Calibri"/>
        <w:b/>
        <w:bCs/>
        <w:color w:val="1f3864"/>
        <w:sz w:val="17"/>
        <w:szCs w:val="17"/>
      </w:rPr>
      <w:t xml:space="preserve">DOCUMENT 1 — GENERAL OVERALL PROJECT</w:t>
    </w:r>
    <w:r>
      <w:rPr>
        <w:rFonts w:ascii="Calibri" w:hAnsi="Calibri" w:eastAsia="Calibri" w:cs="Calibri"/>
        <w:color w:val="595959"/>
        <w:sz w:val="16"/>
        <w:szCs w:val="16"/>
      </w:rPr>
      <w:t xml:space="preserve">    Explainable Multimodal Early-Warning System for Supply-Chain Disruptions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5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6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6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8"/>
    <w:uiPriority w:val="9"/>
    <w:pPr>
      <w:pBdr/>
      <w:spacing/>
      <w:ind/>
    </w:pPr>
    <w:rPr>
      <w:rFonts w:ascii="Arial" w:hAnsi="Arial" w:eastAsia="Arial" w:cs="Arial"/>
      <w:i/>
      <w:iCs/>
      <w:color w:val="0f4761" w:themeColor="accent1" w:themeShade="BF"/>
    </w:rPr>
  </w:style>
  <w:style w:type="character" w:styleId="154">
    <w:name w:val="Heading 5 Char"/>
    <w:basedOn w:val="148"/>
    <w:link w:val="749"/>
    <w:uiPriority w:val="9"/>
    <w:pPr>
      <w:pBdr/>
      <w:spacing/>
      <w:ind/>
    </w:pPr>
    <w:rPr>
      <w:rFonts w:ascii="Arial" w:hAnsi="Arial" w:eastAsia="Arial" w:cs="Arial"/>
      <w:color w:val="0f4761" w:themeColor="accent1" w:themeShade="BF"/>
    </w:rPr>
  </w:style>
  <w:style w:type="character" w:styleId="155">
    <w:name w:val="Heading 6 Char"/>
    <w:basedOn w:val="148"/>
    <w:link w:val="75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4"/>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4">
    <w:name w:val="Title"/>
    <w:qFormat/>
    <w:pPr>
      <w:pBdr/>
      <w:spacing/>
      <w:ind/>
    </w:pPr>
    <w:rPr>
      <w:sz w:val="56"/>
      <w:szCs w:val="56"/>
    </w:rPr>
  </w:style>
  <w:style w:type="paragraph" w:styleId="748">
    <w:name w:val="Heading 4"/>
    <w:qFormat/>
    <w:pPr>
      <w:pBdr/>
      <w:spacing/>
      <w:ind/>
    </w:pPr>
    <w:rPr>
      <w:i/>
      <w:iCs/>
      <w:color w:val="2e74b5"/>
    </w:rPr>
  </w:style>
  <w:style w:type="paragraph" w:styleId="749">
    <w:name w:val="Heading 5"/>
    <w:qFormat/>
    <w:pPr>
      <w:pBdr/>
      <w:spacing/>
      <w:ind/>
    </w:pPr>
    <w:rPr>
      <w:color w:val="2e74b5"/>
    </w:rPr>
  </w:style>
  <w:style w:type="paragraph" w:styleId="750">
    <w:name w:val="Heading 6"/>
    <w:qFormat/>
    <w:pPr>
      <w:pBdr/>
      <w:spacing/>
      <w:ind/>
    </w:pPr>
    <w:rPr>
      <w:color w:val="1f4d78"/>
    </w:rPr>
  </w:style>
  <w:style w:type="paragraph" w:styleId="751">
    <w:name w:val="Strong"/>
    <w:qFormat/>
    <w:pPr>
      <w:pBdr/>
      <w:spacing/>
      <w:ind/>
    </w:pPr>
    <w:rPr>
      <w:b/>
      <w:bCs/>
    </w:rPr>
  </w:style>
  <w:style w:type="paragraph" w:styleId="752">
    <w:name w:val="List Paragraph"/>
    <w:qFormat/>
    <w:pPr>
      <w:pBdr/>
      <w:spacing/>
      <w:ind/>
    </w:pPr>
  </w:style>
  <w:style w:type="character" w:styleId="753">
    <w:name w:val="Hyperlink"/>
    <w:uiPriority w:val="99"/>
    <w:unhideWhenUsed/>
    <w:pPr>
      <w:pBdr/>
      <w:spacing/>
      <w:ind/>
    </w:pPr>
    <w:rPr>
      <w:color w:val="0563c1"/>
      <w:u w:val="single"/>
    </w:rPr>
  </w:style>
  <w:style w:type="character" w:styleId="754">
    <w:name w:val="footnote reference"/>
    <w:uiPriority w:val="99"/>
    <w:semiHidden/>
    <w:unhideWhenUsed/>
    <w:pPr>
      <w:pBdr/>
      <w:spacing/>
      <w:ind/>
    </w:pPr>
    <w:rPr>
      <w:vertAlign w:val="superscript"/>
    </w:rPr>
  </w:style>
  <w:style w:type="paragraph" w:styleId="755">
    <w:name w:val="footnote text"/>
    <w:link w:val="756"/>
    <w:uiPriority w:val="99"/>
    <w:semiHidden/>
    <w:unhideWhenUsed/>
    <w:pPr>
      <w:pBdr/>
      <w:spacing w:after="0" w:line="240" w:lineRule="auto"/>
      <w:ind/>
    </w:pPr>
    <w:rPr>
      <w:sz w:val="20"/>
      <w:szCs w:val="20"/>
    </w:rPr>
  </w:style>
  <w:style w:type="character" w:styleId="756">
    <w:name w:val="Footnote Text Char"/>
    <w:link w:val="755"/>
    <w:uiPriority w:val="99"/>
    <w:semiHidden/>
    <w:unhideWhenUsed/>
    <w:pPr>
      <w:pBdr/>
      <w:spacing/>
      <w:ind/>
    </w:pPr>
    <w:rPr>
      <w:sz w:val="20"/>
      <w:szCs w:val="20"/>
    </w:rPr>
  </w:style>
  <w:style w:type="character" w:styleId="757">
    <w:name w:val="endnote reference"/>
    <w:uiPriority w:val="99"/>
    <w:semiHidden/>
    <w:unhideWhenUsed/>
    <w:pPr>
      <w:pBdr/>
      <w:spacing/>
      <w:ind/>
    </w:pPr>
    <w:rPr>
      <w:vertAlign w:val="superscript"/>
    </w:rPr>
  </w:style>
  <w:style w:type="paragraph" w:styleId="758">
    <w:name w:val="endnote text"/>
    <w:link w:val="759"/>
    <w:uiPriority w:val="99"/>
    <w:semiHidden/>
    <w:unhideWhenUsed/>
    <w:pPr>
      <w:pBdr/>
      <w:spacing w:after="0" w:line="240" w:lineRule="auto"/>
      <w:ind/>
    </w:pPr>
    <w:rPr>
      <w:sz w:val="20"/>
      <w:szCs w:val="20"/>
    </w:rPr>
  </w:style>
  <w:style w:type="character" w:styleId="759">
    <w:name w:val="Endnote Text Char"/>
    <w:link w:val="758"/>
    <w:uiPriority w:val="99"/>
    <w:semiHidden/>
    <w:unhideWhenUsed/>
    <w:pPr>
      <w:pBdr/>
      <w:spacing/>
      <w:ind/>
    </w:pPr>
    <w:rPr>
      <w:sz w:val="20"/>
      <w:szCs w:val="20"/>
    </w:rPr>
  </w:style>
  <w:style w:type="paragraph" w:styleId="760">
    <w:name w:val="Heading 1"/>
    <w:qFormat/>
    <w:pPr>
      <w:pBdr/>
      <w:spacing w:after="140" w:before="360"/>
      <w:ind/>
      <w:outlineLvl w:val="0"/>
    </w:pPr>
    <w:rPr>
      <w:rFonts w:ascii="Calibri" w:hAnsi="Calibri" w:eastAsia="Calibri" w:cs="Calibri"/>
      <w:b/>
      <w:bCs/>
      <w:sz w:val="30"/>
      <w:szCs w:val="30"/>
    </w:rPr>
  </w:style>
  <w:style w:type="paragraph" w:styleId="761">
    <w:name w:val="Heading 2"/>
    <w:qFormat/>
    <w:pPr>
      <w:pBdr/>
      <w:spacing w:after="100" w:before="240"/>
      <w:ind/>
      <w:outlineLvl w:val="1"/>
    </w:pPr>
    <w:rPr>
      <w:rFonts w:ascii="Calibri" w:hAnsi="Calibri" w:eastAsia="Calibri" w:cs="Calibri"/>
      <w:b/>
      <w:bCs/>
      <w:sz w:val="25"/>
      <w:szCs w:val="25"/>
    </w:rPr>
  </w:style>
  <w:style w:type="paragraph" w:styleId="762">
    <w:name w:val="Heading 3"/>
    <w:qFormat/>
    <w:pPr>
      <w:pBdr/>
      <w:spacing w:after="80" w:before="180"/>
      <w:ind/>
      <w:outlineLvl w:val="2"/>
    </w:pPr>
    <w:rPr>
      <w:rFonts w:ascii="Calibri" w:hAnsi="Calibri" w:eastAsia="Calibri" w:cs="Calibri"/>
      <w:b/>
      <w:bCs/>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Multimodal Early-Warning System — General Overall Project</dc:title>
  <dc:creator>Project Team</dc:creator>
  <cp:revision>2</cp:revision>
  <dcterms:created xsi:type="dcterms:W3CDTF">2026-10-02T07:02:19Z</dcterms:created>
  <dcterms:modified xsi:type="dcterms:W3CDTF">2026-10-02T07:29:43Z</dcterms:modified>
</cp:coreProperties>
</file>