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pPr>
    </w:p>
    <w:p>
      <w:pPr>
        <w:spacing w:after="100"/>
      </w:pPr>
      <w:r>
        <w:rPr>
          <w:rFonts w:ascii="Calibri" w:cs="Calibri" w:eastAsia="Calibri" w:hAnsi="Calibri"/>
          <w:b/>
          <w:bCs/>
          <w:color w:val="595959"/>
          <w:spacing w:val="40"/>
          <w:sz w:val="20"/>
          <w:szCs w:val="20"/>
        </w:rPr>
        <w:t xml:space="preserve">DOCUMENT 2 OF 2 · INDIVIDUAL RESEARCH CONTRIBUTION</w:t>
      </w:r>
    </w:p>
    <w:p>
      <w:pPr>
        <w:pBdr>
          <w:bottom w:val="single" w:color="8E2B2B" w:sz="12" w:space="10"/>
        </w:pBdr>
        <w:spacing w:after="160" w:line="252" w:lineRule="auto"/>
      </w:pPr>
      <w:r>
        <w:rPr>
          <w:rFonts w:ascii="Calibri" w:cs="Calibri" w:eastAsia="Calibri" w:hAnsi="Calibri"/>
          <w:b/>
          <w:bCs/>
          <w:color w:val="8E2B2B"/>
          <w:sz w:val="50"/>
          <w:szCs w:val="50"/>
        </w:rPr>
        <w:t xml:space="preserve">Evidence-Grounded Cross-Modal Explainability and Uncertainty-Aware Early Warning</w:t>
      </w:r>
    </w:p>
    <w:p>
      <w:pPr>
        <w:spacing w:after="320" w:before="0" w:line="288" w:lineRule="auto"/>
      </w:pPr>
      <w:r>
        <w:rPr>
          <w:rFonts w:ascii="Calibri" w:cs="Calibri" w:eastAsia="Calibri" w:hAnsi="Calibri"/>
          <w:color w:val="595959"/>
          <w:sz w:val="24"/>
          <w:szCs w:val="24"/>
        </w:rPr>
        <w:t xml:space="preserve">Individual research contribution (Person 5) to the project “Explainable Multimodal Early-Warning System for Supply-Chain Disruptions”. Foundation for Paper 2.</w:t>
      </w:r>
    </w:p>
    <w:p>
      <w:pPr>
        <w:pStyle w:val="Heading2"/>
        <w:keepNext/>
        <w:spacing w:after="100" w:before="240"/>
      </w:pPr>
      <w:r>
        <w:rPr>
          <w:rFonts w:ascii="Calibri" w:cs="Calibri" w:eastAsia="Calibri" w:hAnsi="Calibri"/>
          <w:b/>
          <w:bCs/>
          <w:color w:val="8E2B2B"/>
          <w:sz w:val="25"/>
          <w:szCs w:val="25"/>
        </w:rPr>
        <w:t xml:space="preserve">Document 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cantSplit/>
        </w:trPr>
        <w:tc>
          <w:tcPr>
            <w:tcW w:type="dxa" w:w="1800"/>
            <w:tcBorders>
              <w:top w:val="single" w:color="BFBFBF" w:sz="4"/>
              <w:left w:val="single" w:color="BFBFBF" w:sz="4"/>
              <w:bottom w:val="single" w:color="BFBFBF" w:sz="4"/>
              <w:right w:val="single" w:color="BFBFBF" w:sz="4"/>
            </w:tcBorders>
            <w:shd w:fill="F8EDED" w:color="auto" w:val="clear"/>
            <w:tcMar>
              <w:top w:type="dxa" w:w="70"/>
              <w:left w:type="dxa" w:w="110"/>
              <w:bottom w:type="dxa" w:w="70"/>
              <w:right w:type="dxa" w:w="110"/>
            </w:tcMar>
            <w:vAlign w:val="top"/>
          </w:tcPr>
          <w:p>
            <w:pPr>
              <w:spacing w:after="40" w:line="260" w:lineRule="auto"/>
            </w:pPr>
            <w:r>
              <w:rPr>
                <w:rFonts w:ascii="Calibri" w:cs="Calibri" w:eastAsia="Calibri" w:hAnsi="Calibri"/>
                <w:b/>
                <w:bCs/>
                <w:sz w:val="19"/>
                <w:szCs w:val="19"/>
              </w:rPr>
              <w:t xml:space="preserve">Section 1</w:t>
            </w:r>
          </w:p>
          <w:p>
            <w:pPr>
              <w:spacing w:after="40" w:line="260" w:lineRule="auto"/>
            </w:pPr>
            <w:r>
              <w:rPr>
                <w:rFonts w:ascii="Calibri" w:cs="Calibri" w:eastAsia="Calibri" w:hAnsi="Calibri"/>
                <w:b/>
                <w:bCs/>
                <w:sz w:val="19"/>
                <w:szCs w:val="19"/>
              </w:rPr>
              <w:t xml:space="preserve">Context</w:t>
            </w:r>
          </w:p>
        </w:tc>
        <w:tc>
          <w:tcPr>
            <w:tcW w:type="dxa" w:w="7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0" w:lineRule="auto"/>
            </w:pPr>
            <w:r>
              <w:rPr>
                <w:rFonts w:ascii="Calibri" w:cs="Calibri" w:eastAsia="Calibri" w:hAnsi="Calibri"/>
                <w:b w:val="false"/>
                <w:bCs w:val="false"/>
                <w:sz w:val="19"/>
                <w:szCs w:val="19"/>
              </w:rPr>
              <w:t xml:space="preserve">Where the module sits in the team project, its scope, and what it needs from the other four libraries.</w:t>
            </w:r>
          </w:p>
        </w:tc>
      </w:tr>
      <w:tr>
        <w:trPr>
          <w:cantSplit/>
        </w:trPr>
        <w:tc>
          <w:tcPr>
            <w:tcW w:type="dxa" w:w="1800"/>
            <w:tcBorders>
              <w:top w:val="single" w:color="BFBFBF" w:sz="4"/>
              <w:left w:val="single" w:color="BFBFBF" w:sz="4"/>
              <w:bottom w:val="single" w:color="BFBFBF" w:sz="4"/>
              <w:right w:val="single" w:color="BFBFBF" w:sz="4"/>
            </w:tcBorders>
            <w:shd w:fill="F8EDED" w:color="auto" w:val="clear"/>
            <w:tcMar>
              <w:top w:type="dxa" w:w="70"/>
              <w:left w:type="dxa" w:w="110"/>
              <w:bottom w:type="dxa" w:w="70"/>
              <w:right w:type="dxa" w:w="110"/>
            </w:tcMar>
            <w:vAlign w:val="top"/>
          </w:tcPr>
          <w:p>
            <w:pPr>
              <w:spacing w:after="40" w:line="260" w:lineRule="auto"/>
            </w:pPr>
            <w:r>
              <w:rPr>
                <w:rFonts w:ascii="Calibri" w:cs="Calibri" w:eastAsia="Calibri" w:hAnsi="Calibri"/>
                <w:b/>
                <w:bCs/>
                <w:sz w:val="19"/>
                <w:szCs w:val="19"/>
              </w:rPr>
              <w:t xml:space="preserve">Sections 2–7</w:t>
            </w:r>
          </w:p>
          <w:p>
            <w:pPr>
              <w:spacing w:after="40" w:line="260" w:lineRule="auto"/>
            </w:pPr>
            <w:r>
              <w:rPr>
                <w:rFonts w:ascii="Calibri" w:cs="Calibri" w:eastAsia="Calibri" w:hAnsi="Calibri"/>
                <w:b/>
                <w:bCs/>
                <w:sz w:val="19"/>
                <w:szCs w:val="19"/>
              </w:rPr>
              <w:t xml:space="preserve">Research</w:t>
            </w:r>
          </w:p>
        </w:tc>
        <w:tc>
          <w:tcPr>
            <w:tcW w:type="dxa" w:w="7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0" w:lineRule="auto"/>
            </w:pPr>
            <w:r>
              <w:rPr>
                <w:rFonts w:ascii="Calibri" w:cs="Calibri" w:eastAsia="Calibri" w:hAnsi="Calibri"/>
                <w:b w:val="false"/>
                <w:bCs w:val="false"/>
                <w:sz w:val="19"/>
                <w:szCs w:val="19"/>
              </w:rPr>
              <w:t xml:space="preserve">Research problem, specific architecture, example explanation, research questions, experimental design, evaluation metrics.</w:t>
            </w:r>
          </w:p>
        </w:tc>
      </w:tr>
      <w:tr>
        <w:trPr>
          <w:cantSplit/>
        </w:trPr>
        <w:tc>
          <w:tcPr>
            <w:tcW w:type="dxa" w:w="1800"/>
            <w:tcBorders>
              <w:top w:val="single" w:color="BFBFBF" w:sz="4"/>
              <w:left w:val="single" w:color="BFBFBF" w:sz="4"/>
              <w:bottom w:val="single" w:color="BFBFBF" w:sz="4"/>
              <w:right w:val="single" w:color="BFBFBF" w:sz="4"/>
            </w:tcBorders>
            <w:shd w:fill="F8EDED" w:color="auto" w:val="clear"/>
            <w:tcMar>
              <w:top w:type="dxa" w:w="70"/>
              <w:left w:type="dxa" w:w="110"/>
              <w:bottom w:type="dxa" w:w="70"/>
              <w:right w:type="dxa" w:w="110"/>
            </w:tcMar>
            <w:vAlign w:val="top"/>
          </w:tcPr>
          <w:p>
            <w:pPr>
              <w:spacing w:after="40" w:line="260" w:lineRule="auto"/>
            </w:pPr>
            <w:r>
              <w:rPr>
                <w:rFonts w:ascii="Calibri" w:cs="Calibri" w:eastAsia="Calibri" w:hAnsi="Calibri"/>
                <w:b/>
                <w:bCs/>
                <w:sz w:val="19"/>
                <w:szCs w:val="19"/>
              </w:rPr>
              <w:t xml:space="preserve">Sections 8–9</w:t>
            </w:r>
          </w:p>
          <w:p>
            <w:pPr>
              <w:spacing w:after="40" w:line="260" w:lineRule="auto"/>
            </w:pPr>
            <w:r>
              <w:rPr>
                <w:rFonts w:ascii="Calibri" w:cs="Calibri" w:eastAsia="Calibri" w:hAnsi="Calibri"/>
                <w:b/>
                <w:bCs/>
                <w:sz w:val="19"/>
                <w:szCs w:val="19"/>
              </w:rPr>
              <w:t xml:space="preserve">Delivery</w:t>
            </w:r>
          </w:p>
        </w:tc>
        <w:tc>
          <w:tcPr>
            <w:tcW w:type="dxa" w:w="7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0" w:lineRule="auto"/>
            </w:pPr>
            <w:r>
              <w:rPr>
                <w:rFonts w:ascii="Calibri" w:cs="Calibri" w:eastAsia="Calibri" w:hAnsi="Calibri"/>
                <w:b w:val="false"/>
                <w:bCs w:val="false"/>
                <w:sz w:val="19"/>
                <w:szCs w:val="19"/>
              </w:rPr>
              <w:t xml:space="preserve">Publication plan for Paper 2, risks and open decisions.</w:t>
            </w:r>
          </w:p>
        </w:tc>
      </w:tr>
      <w:tr>
        <w:trPr>
          <w:cantSplit/>
        </w:trPr>
        <w:tc>
          <w:tcPr>
            <w:tcW w:type="dxa" w:w="1800"/>
            <w:tcBorders>
              <w:top w:val="single" w:color="BFBFBF" w:sz="4"/>
              <w:left w:val="single" w:color="BFBFBF" w:sz="4"/>
              <w:bottom w:val="single" w:color="BFBFBF" w:sz="4"/>
              <w:right w:val="single" w:color="BFBFBF" w:sz="4"/>
            </w:tcBorders>
            <w:shd w:fill="F8EDED" w:color="auto" w:val="clear"/>
            <w:tcMar>
              <w:top w:type="dxa" w:w="70"/>
              <w:left w:type="dxa" w:w="110"/>
              <w:bottom w:type="dxa" w:w="70"/>
              <w:right w:type="dxa" w:w="110"/>
            </w:tcMar>
            <w:vAlign w:val="top"/>
          </w:tcPr>
          <w:p>
            <w:pPr>
              <w:spacing w:after="40" w:line="260" w:lineRule="auto"/>
            </w:pPr>
            <w:r>
              <w:rPr>
                <w:rFonts w:ascii="Calibri" w:cs="Calibri" w:eastAsia="Calibri" w:hAnsi="Calibri"/>
                <w:b/>
                <w:bCs/>
                <w:sz w:val="19"/>
                <w:szCs w:val="19"/>
              </w:rPr>
              <w:t xml:space="preserve">Companion</w:t>
            </w:r>
          </w:p>
          <w:p>
            <w:pPr>
              <w:spacing w:after="40" w:line="260" w:lineRule="auto"/>
            </w:pPr>
            <w:r>
              <w:rPr>
                <w:rFonts w:ascii="Calibri" w:cs="Calibri" w:eastAsia="Calibri" w:hAnsi="Calibri"/>
                <w:b/>
                <w:bCs/>
                <w:sz w:val="19"/>
                <w:szCs w:val="19"/>
              </w:rPr>
              <w:t xml:space="preserve">Document 1</w:t>
            </w:r>
          </w:p>
        </w:tc>
        <w:tc>
          <w:tcPr>
            <w:tcW w:type="dxa" w:w="7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0" w:lineRule="auto"/>
            </w:pPr>
            <w:r>
              <w:rPr>
                <w:rFonts w:ascii="Calibri" w:cs="Calibri" w:eastAsia="Calibri" w:hAnsi="Calibri"/>
                <w:b w:val="false"/>
                <w:bCs w:val="false"/>
                <w:i/>
                <w:iCs/>
                <w:sz w:val="19"/>
                <w:szCs w:val="19"/>
              </w:rPr>
              <w:t xml:space="preserve">General overall project</w:t>
            </w:r>
            <w:r>
              <w:rPr>
                <w:rFonts w:ascii="Calibri" w:cs="Calibri" w:eastAsia="Calibri" w:hAnsi="Calibri"/>
                <w:b w:val="false"/>
                <w:bCs w:val="false"/>
                <w:sz w:val="19"/>
                <w:szCs w:val="19"/>
              </w:rPr>
              <w:t xml:space="preserve">: the integrated five-person system and the team paper (Paper 1).</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8EDED" w:sz="4"/>
              <w:left w:val="single" w:color="8E2B2B" w:sz="24"/>
              <w:bottom w:val="single" w:color="F8EDED" w:sz="4"/>
              <w:right w:val="single" w:color="F8EDED" w:sz="4"/>
            </w:tcBorders>
            <w:shd w:fill="F8EDED" w:color="auto" w:val="clear"/>
            <w:tcMar>
              <w:top w:type="dxa" w:w="110"/>
              <w:left w:type="dxa" w:w="200"/>
              <w:bottom w:type="dxa" w:w="90"/>
              <w:right w:type="dxa" w:w="160"/>
            </w:tcMar>
          </w:tcPr>
          <w:p>
            <w:pPr>
              <w:spacing w:after="60"/>
            </w:pPr>
            <w:r>
              <w:rPr>
                <w:rFonts w:ascii="Calibri" w:cs="Calibri" w:eastAsia="Calibri" w:hAnsi="Calibri"/>
                <w:b/>
                <w:bCs/>
                <w:color w:val="8E2B2B"/>
                <w:sz w:val="20"/>
                <w:szCs w:val="20"/>
              </w:rPr>
              <w:t xml:space="preserve">Status of this document</w:t>
            </w:r>
          </w:p>
          <w:p>
            <w:pPr>
              <w:spacing w:after="40" w:line="260" w:lineRule="auto"/>
            </w:pPr>
            <w:r>
              <w:rPr>
                <w:rFonts w:ascii="Calibri" w:cs="Calibri" w:eastAsia="Calibri" w:hAnsi="Calibri"/>
                <w:sz w:val="19"/>
                <w:szCs w:val="19"/>
              </w:rPr>
              <w:t xml:space="preserve">This is a planning and architecture document. It contains </w:t>
            </w:r>
            <w:r>
              <w:rPr>
                <w:rFonts w:ascii="Calibri" w:cs="Calibri" w:eastAsia="Calibri" w:hAnsi="Calibri"/>
                <w:b/>
                <w:bCs/>
                <w:sz w:val="19"/>
                <w:szCs w:val="19"/>
              </w:rPr>
              <w:t xml:space="preserve">no experimental results, no dataset claims and no accuracy figures</w:t>
            </w:r>
            <w:r>
              <w:rPr>
                <w:rFonts w:ascii="Calibri" w:cs="Calibri" w:eastAsia="Calibri" w:hAnsi="Calibri"/>
                <w:sz w:val="19"/>
                <w:szCs w:val="19"/>
              </w:rPr>
              <w:t xml:space="preserve">. All numbers shown in examples are illustrative placeholders and are labelled as such.</w:t>
            </w:r>
          </w:p>
          <w:p>
            <w:pPr>
              <w:spacing w:after="40" w:line="260" w:lineRule="auto"/>
            </w:pPr>
            <w:r>
              <w:rPr>
                <w:rFonts w:ascii="Calibri" w:cs="Calibri" w:eastAsia="Calibri" w:hAnsi="Calibri"/>
                <w:sz w:val="19"/>
                <w:szCs w:val="19"/>
              </w:rPr>
              <w:t xml:space="preserve">Publication quality depends on actual novelty, experimental rigour, datasets, baselines, results and the requirements of the chosen journal or conference. Nothing here guarantees acceptance or impact.</w:t>
            </w:r>
          </w:p>
        </w:tc>
      </w:tr>
    </w:tbl>
    <w:p>
      <w:pPr>
        <w:spacing w:after="160"/>
      </w:pPr>
    </w:p>
    <w:p>
      <w:pPr>
        <w:spacing w:after="120" w:before="0" w:line="288" w:lineRule="auto"/>
      </w:pPr>
      <w:r>
        <w:rPr>
          <w:rFonts w:ascii="Calibri" w:cs="Calibri" w:eastAsia="Calibri" w:hAnsi="Calibri"/>
          <w:color w:val="595959"/>
          <w:sz w:val="19"/>
          <w:szCs w:val="19"/>
        </w:rPr>
        <w:t xml:space="preserve">Draft v1.0 · October 2026</w:t>
      </w:r>
    </w:p>
    <w:p>
      <w:pPr>
        <w:sectPr>
          <w:footerReference w:type="default" r:id="rId7"/>
          <w:pgSz w:w="11906" w:h="16838" w:orient="portrait"/>
          <w:pgMar w:top="1300" w:right="1440" w:bottom="1200" w:left="1440" w:header="708" w:footer="708" w:gutter="0"/>
          <w:pgNumType/>
          <w:docGrid w:linePitch="360"/>
        </w:sectPr>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E2B2B" w:sz="4"/>
              <w:left w:val="single" w:color="8E2B2B" w:sz="4"/>
              <w:bottom w:val="single" w:color="8E2B2B" w:sz="4"/>
              <w:right w:val="single" w:color="8E2B2B" w:sz="4"/>
            </w:tcBorders>
            <w:shd w:fill="8E2B2B" w:color="auto" w:val="clear"/>
            <w:tcMar>
              <w:top w:type="dxa" w:w="220"/>
              <w:left w:type="dxa" w:w="280"/>
              <w:bottom w:type="dxa" w:w="220"/>
              <w:right w:type="dxa" w:w="280"/>
            </w:tcMar>
          </w:tcPr>
          <w:p>
            <w:pPr>
              <w:spacing w:after="60"/>
            </w:pPr>
            <w:r>
              <w:rPr>
                <w:rFonts w:ascii="Calibri" w:cs="Calibri" w:eastAsia="Calibri" w:hAnsi="Calibri"/>
                <w:b/>
                <w:bCs/>
                <w:color w:val="FFFFFF"/>
                <w:sz w:val="38"/>
                <w:szCs w:val="38"/>
              </w:rPr>
              <w:t xml:space="preserve">SPECIFIC INDIVIDUAL RESEARCH CONTRIBUTION</w:t>
            </w:r>
          </w:p>
          <w:p>
            <w:pPr>
              <w:spacing w:after="0"/>
            </w:pPr>
            <w:r>
              <w:rPr>
                <w:rFonts w:ascii="Calibri" w:cs="Calibri" w:eastAsia="Calibri" w:hAnsi="Calibri"/>
                <w:b w:val="false"/>
                <w:bCs w:val="false"/>
                <w:color w:val="E6E6E6"/>
                <w:sz w:val="21"/>
                <w:szCs w:val="21"/>
              </w:rPr>
              <w:t xml:space="preserve">Evidence-Grounded Cross-Modal Explainability and Uncertainty-Aware Early Warning</w:t>
            </w:r>
          </w:p>
        </w:tc>
      </w:tr>
    </w:tbl>
    <w:p>
      <w:pPr>
        <w:spacing w:after="120"/>
      </w:pPr>
    </w:p>
    <w:p>
      <w:pPr>
        <w:pStyle w:val="Heading1"/>
        <w:keepNext/>
        <w:pBdr>
          <w:bottom w:val="single" w:color="8E2B2B" w:sz="8" w:space="3"/>
        </w:pBdr>
        <w:spacing w:after="140" w:before="360"/>
      </w:pPr>
      <w:r>
        <w:rPr>
          <w:rFonts w:ascii="Calibri" w:cs="Calibri" w:eastAsia="Calibri" w:hAnsi="Calibri"/>
          <w:b/>
          <w:bCs/>
          <w:color w:val="8E2B2B"/>
          <w:sz w:val="30"/>
          <w:szCs w:val="30"/>
        </w:rPr>
        <w:t xml:space="preserve">1. Context and Scope</w:t>
      </w:r>
    </w:p>
    <w:p>
      <w:pPr>
        <w:spacing w:after="120" w:before="0" w:line="288" w:lineRule="auto"/>
      </w:pPr>
      <w:r>
        <w:rPr>
          <w:rFonts w:ascii="Calibri" w:cs="Calibri" w:eastAsia="Calibri" w:hAnsi="Calibri"/>
          <w:sz w:val="21"/>
          <w:szCs w:val="21"/>
        </w:rPr>
        <w:t xml:space="preserve">This contribution is one module of a five-person project that detects supply-chain disruptions early by fusing structured data, time series, news, external events and logistics information. The team’s general project is described in the companion document. Person 5 owns the library </w:t>
      </w:r>
      <w:r>
        <w:rPr>
          <w:rFonts w:ascii="Calibri" w:cs="Calibri" w:eastAsia="Calibri" w:hAnsi="Calibri"/>
          <w:b/>
          <w:bCs/>
          <w:sz w:val="21"/>
          <w:szCs w:val="21"/>
        </w:rPr>
        <w:t xml:space="preserve">ExplainableWarning</w:t>
      </w:r>
      <w:r>
        <w:rPr>
          <w:rFonts w:ascii="Calibri" w:cs="Calibri" w:eastAsia="Calibri" w:hAnsi="Calibri"/>
          <w:sz w:val="21"/>
          <w:szCs w:val="21"/>
        </w:rPr>
        <w:t xml:space="preserve">, which takes the fused model’s prediction and produces attribution, evidence, consistency checks, uncertainty and an explanation.</w:t>
      </w:r>
    </w:p>
    <w:p>
      <w:pPr>
        <w:pStyle w:val="Heading2"/>
        <w:keepNext/>
        <w:spacing w:after="100" w:before="240"/>
      </w:pPr>
      <w:r>
        <w:rPr>
          <w:rFonts w:ascii="Calibri" w:cs="Calibri" w:eastAsia="Calibri" w:hAnsi="Calibri"/>
          <w:b/>
          <w:bCs/>
          <w:color w:val="8E2B2B"/>
          <w:sz w:val="25"/>
          <w:szCs w:val="25"/>
        </w:rPr>
        <w:t xml:space="preserve">1.1 Position in the overall system</w:t>
      </w:r>
    </w:p>
    <w:p>
      <w:pPr>
        <w:keepNext/>
        <w:spacing w:after="40" w:before="60"/>
        <w:jc w:val="center"/>
      </w:pPr>
      <w:r>
        <w:drawing>
          <wp:inline distT="0" distB="0" distL="0" distR="0">
            <wp:extent cx="3190875" cy="4086225"/>
            <wp:effectExtent t="0" r="0" b="0" l="0"/>
            <wp:docPr id="1" name="diagram3.png" descr="Architecture diagram" title="diagram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190875" cy="4086225"/>
                    </a:xfrm>
                    <a:prstGeom prst="rect">
                      <a:avLst/>
                    </a:prstGeom>
                  </pic:spPr>
                </pic:pic>
              </a:graphicData>
            </a:graphic>
          </wp:inline>
        </w:drawing>
      </w:r>
    </w:p>
    <w:p>
      <w:pPr>
        <w:spacing w:after="200" w:before="60"/>
        <w:jc w:val="center"/>
      </w:pPr>
      <w:r>
        <w:rPr>
          <w:rFonts w:ascii="Calibri" w:cs="Calibri" w:eastAsia="Calibri" w:hAnsi="Calibri"/>
          <w:i/>
          <w:iCs/>
          <w:color w:val="595959"/>
          <w:sz w:val="18"/>
          <w:szCs w:val="18"/>
        </w:rPr>
        <w:t xml:space="preserve">Figure 1. Position of the Explainability, Evidence &amp; Uncertainty module in the end-to-end system.</w:t>
      </w:r>
    </w:p>
    <w:p>
      <w:pPr>
        <w:pStyle w:val="Heading2"/>
        <w:keepNext/>
        <w:spacing w:after="100" w:before="240"/>
      </w:pPr>
      <w:r>
        <w:rPr>
          <w:rFonts w:ascii="Calibri" w:cs="Calibri" w:eastAsia="Calibri" w:hAnsi="Calibri"/>
          <w:b/>
          <w:bCs/>
          <w:color w:val="8E2B2B"/>
          <w:sz w:val="25"/>
          <w:szCs w:val="25"/>
        </w:rPr>
        <w:t xml:space="preserve">1.2 Scope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8E2B2B" w:sz="4"/>
              <w:left w:val="single" w:color="8E2B2B" w:sz="4"/>
              <w:bottom w:val="single" w:color="8E2B2B" w:sz="4"/>
              <w:right w:val="single" w:color="8E2B2B" w:sz="4"/>
            </w:tcBorders>
            <w:shd w:fill="8E2B2B" w:color="auto" w:val="clear"/>
            <w:tcMar>
              <w:top w:type="dxa" w:w="70"/>
              <w:left w:type="dxa" w:w="110"/>
              <w:bottom w:type="dxa" w:w="70"/>
              <w:right w:type="dxa" w:w="110"/>
            </w:tcMar>
            <w:vAlign w:val="top"/>
          </w:tcPr>
          <w:p>
            <w:pPr>
              <w:spacing w:after="40" w:line="260" w:lineRule="auto"/>
            </w:pPr>
            <w:r>
              <w:rPr>
                <w:rFonts w:ascii="Calibri" w:cs="Calibri" w:eastAsia="Calibri" w:hAnsi="Calibri"/>
                <w:b/>
                <w:bCs/>
                <w:color w:val="FFFFFF"/>
                <w:sz w:val="19"/>
                <w:szCs w:val="19"/>
              </w:rPr>
              <w:t xml:space="preserve">In scope (this contribution)</w:t>
            </w:r>
          </w:p>
        </w:tc>
        <w:tc>
          <w:tcPr>
            <w:tcW w:type="dxa" w:w="4513"/>
            <w:tcBorders>
              <w:top w:val="single" w:color="8E2B2B" w:sz="4"/>
              <w:left w:val="single" w:color="8E2B2B" w:sz="4"/>
              <w:bottom w:val="single" w:color="8E2B2B" w:sz="4"/>
              <w:right w:val="single" w:color="8E2B2B" w:sz="4"/>
            </w:tcBorders>
            <w:shd w:fill="8E2B2B" w:color="auto" w:val="clear"/>
            <w:tcMar>
              <w:top w:type="dxa" w:w="70"/>
              <w:left w:type="dxa" w:w="110"/>
              <w:bottom w:type="dxa" w:w="70"/>
              <w:right w:type="dxa" w:w="110"/>
            </w:tcMar>
            <w:vAlign w:val="top"/>
          </w:tcPr>
          <w:p>
            <w:pPr>
              <w:spacing w:after="40" w:line="260" w:lineRule="auto"/>
            </w:pPr>
            <w:r>
              <w:rPr>
                <w:rFonts w:ascii="Calibri" w:cs="Calibri" w:eastAsia="Calibri" w:hAnsi="Calibri"/>
                <w:b/>
                <w:bCs/>
                <w:color w:val="FFFFFF"/>
                <w:sz w:val="19"/>
                <w:szCs w:val="19"/>
              </w:rPr>
              <w:t xml:space="preserve">Owned by other members</w:t>
            </w:r>
          </w:p>
        </w:tc>
      </w:tr>
      <w:tr>
        <w:trPr>
          <w:cantSplit/>
        </w:trPr>
        <w:tc>
          <w:tcPr>
            <w:tcW w:type="dxa" w:w="4513"/>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pStyle w:val="ListParagraph"/>
              <w:numPr>
                <w:ilvl w:val="0"/>
                <w:numId w:val="2"/>
              </w:numPr>
              <w:spacing w:after="30" w:line="260" w:lineRule="auto"/>
            </w:pPr>
            <w:r>
              <w:rPr>
                <w:rFonts w:ascii="Calibri" w:cs="Calibri" w:eastAsia="Calibri" w:hAnsi="Calibri"/>
                <w:sz w:val="19"/>
                <w:szCs w:val="19"/>
              </w:rPr>
              <w:t xml:space="preserve">Feature, text, event and cross-modal attribution</w:t>
            </w:r>
          </w:p>
          <w:p>
            <w:pPr>
              <w:pStyle w:val="ListParagraph"/>
              <w:numPr>
                <w:ilvl w:val="0"/>
                <w:numId w:val="2"/>
              </w:numPr>
              <w:spacing w:after="30" w:line="260" w:lineRule="auto"/>
            </w:pPr>
            <w:r>
              <w:rPr>
                <w:rFonts w:ascii="Calibri" w:cs="Calibri" w:eastAsia="Calibri" w:hAnsi="Calibri"/>
                <w:sz w:val="19"/>
                <w:szCs w:val="19"/>
              </w:rPr>
              <w:t xml:space="preserve">Evidence retrieval and grounding</w:t>
            </w:r>
          </w:p>
          <w:p>
            <w:pPr>
              <w:pStyle w:val="ListParagraph"/>
              <w:numPr>
                <w:ilvl w:val="0"/>
                <w:numId w:val="2"/>
              </w:numPr>
              <w:spacing w:after="30" w:line="260" w:lineRule="auto"/>
            </w:pPr>
            <w:r>
              <w:rPr>
                <w:rFonts w:ascii="Calibri" w:cs="Calibri" w:eastAsia="Calibri" w:hAnsi="Calibri"/>
                <w:sz w:val="19"/>
                <w:szCs w:val="19"/>
              </w:rPr>
              <w:t xml:space="preserve">Evidence consistency verification</w:t>
            </w:r>
          </w:p>
          <w:p>
            <w:pPr>
              <w:pStyle w:val="ListParagraph"/>
              <w:numPr>
                <w:ilvl w:val="0"/>
                <w:numId w:val="2"/>
              </w:numPr>
              <w:spacing w:after="30" w:line="260" w:lineRule="auto"/>
            </w:pPr>
            <w:r>
              <w:rPr>
                <w:rFonts w:ascii="Calibri" w:cs="Calibri" w:eastAsia="Calibri" w:hAnsi="Calibri"/>
                <w:sz w:val="19"/>
                <w:szCs w:val="19"/>
              </w:rPr>
              <w:t xml:space="preserve">Uncertainty estimation and calibration</w:t>
            </w:r>
          </w:p>
          <w:p>
            <w:pPr>
              <w:pStyle w:val="ListParagraph"/>
              <w:numPr>
                <w:ilvl w:val="0"/>
                <w:numId w:val="2"/>
              </w:numPr>
              <w:spacing w:after="30" w:line="260" w:lineRule="auto"/>
            </w:pPr>
            <w:r>
              <w:rPr>
                <w:rFonts w:ascii="Calibri" w:cs="Calibri" w:eastAsia="Calibri" w:hAnsi="Calibri"/>
                <w:sz w:val="19"/>
                <w:szCs w:val="19"/>
              </w:rPr>
              <w:t xml:space="preserve">Explanation generation and report</w:t>
            </w:r>
          </w:p>
          <w:p>
            <w:pPr>
              <w:pStyle w:val="ListParagraph"/>
              <w:numPr>
                <w:ilvl w:val="0"/>
                <w:numId w:val="2"/>
              </w:numPr>
              <w:spacing w:after="30" w:line="260" w:lineRule="auto"/>
            </w:pPr>
            <w:r>
              <w:rPr>
                <w:rFonts w:ascii="Calibri" w:cs="Calibri" w:eastAsia="Calibri" w:hAnsi="Calibri"/>
                <w:sz w:val="19"/>
                <w:szCs w:val="19"/>
              </w:rPr>
              <w:t xml:space="preserve">Evaluation of explanation quality</w:t>
            </w:r>
          </w:p>
        </w:tc>
        <w:tc>
          <w:tcPr>
            <w:tcW w:type="dxa" w:w="4513"/>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pStyle w:val="ListParagraph"/>
              <w:numPr>
                <w:ilvl w:val="0"/>
                <w:numId w:val="2"/>
              </w:numPr>
              <w:spacing w:after="30" w:line="260" w:lineRule="auto"/>
            </w:pPr>
            <w:r>
              <w:rPr>
                <w:rFonts w:ascii="Calibri" w:cs="Calibri" w:eastAsia="Calibri" w:hAnsi="Calibri"/>
                <w:b w:val="false"/>
                <w:bCs w:val="false"/>
                <w:sz w:val="19"/>
                <w:szCs w:val="19"/>
              </w:rPr>
              <w:t xml:space="preserve">Feature extraction from each modality (Persons 1–3)</w:t>
            </w:r>
          </w:p>
          <w:p>
            <w:pPr>
              <w:pStyle w:val="ListParagraph"/>
              <w:numPr>
                <w:ilvl w:val="0"/>
                <w:numId w:val="2"/>
              </w:numPr>
              <w:spacing w:after="30" w:line="260" w:lineRule="auto"/>
            </w:pPr>
            <w:r>
              <w:rPr>
                <w:rFonts w:ascii="Calibri" w:cs="Calibri" w:eastAsia="Calibri" w:hAnsi="Calibri"/>
                <w:b w:val="false"/>
                <w:bCs w:val="false"/>
                <w:sz w:val="19"/>
                <w:szCs w:val="19"/>
              </w:rPr>
              <w:t xml:space="preserve">Feature alignment, fusion model and prediction (Person 4)</w:t>
            </w:r>
          </w:p>
          <w:p>
            <w:pPr>
              <w:pStyle w:val="ListParagraph"/>
              <w:numPr>
                <w:ilvl w:val="0"/>
                <w:numId w:val="2"/>
              </w:numPr>
              <w:spacing w:after="30" w:line="260" w:lineRule="auto"/>
            </w:pPr>
            <w:r>
              <w:rPr>
                <w:rFonts w:ascii="Calibri" w:cs="Calibri" w:eastAsia="Calibri" w:hAnsi="Calibri"/>
                <w:b w:val="false"/>
                <w:bCs w:val="false"/>
                <w:sz w:val="19"/>
                <w:szCs w:val="19"/>
              </w:rPr>
              <w:t xml:space="preserve">Dashboard integration (shared)</w:t>
            </w:r>
          </w:p>
        </w:tc>
      </w:tr>
    </w:tbl>
    <w:p>
      <w:pPr>
        <w:pStyle w:val="Heading2"/>
        <w:keepNext/>
        <w:spacing w:after="100" w:before="240"/>
      </w:pPr>
      <w:r>
        <w:rPr>
          <w:rFonts w:ascii="Calibri" w:cs="Calibri" w:eastAsia="Calibri" w:hAnsi="Calibri"/>
          <w:b/>
          <w:bCs/>
          <w:color w:val="8E2B2B"/>
          <w:sz w:val="25"/>
          <w:szCs w:val="25"/>
        </w:rPr>
        <w:t xml:space="preserve">1.3 Inputs required from the other libraries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226"/>
        <w:gridCol w:w="2400"/>
      </w:tblGrid>
      <w:tr>
        <w:trPr>
          <w:cantSplit/>
          <w:tblHeader/>
        </w:trPr>
        <w:tc>
          <w:tcPr>
            <w:tcW w:type="dxa" w:w="2400"/>
            <w:tcBorders>
              <w:top w:val="single" w:color="8E2B2B" w:sz="4"/>
              <w:left w:val="single" w:color="8E2B2B" w:sz="4"/>
              <w:bottom w:val="single" w:color="8E2B2B" w:sz="4"/>
              <w:right w:val="single" w:color="8E2B2B" w:sz="4"/>
            </w:tcBorders>
            <w:shd w:fill="8E2B2B" w:color="auto" w:val="clear"/>
            <w:tcMar>
              <w:top w:type="dxa" w:w="70"/>
              <w:left w:type="dxa" w:w="110"/>
              <w:bottom w:type="dxa" w:w="70"/>
              <w:right w:type="dxa" w:w="110"/>
            </w:tcMar>
            <w:vAlign w:val="top"/>
          </w:tcPr>
          <w:p>
            <w:pPr>
              <w:spacing w:after="40" w:line="260" w:lineRule="auto"/>
            </w:pPr>
            <w:r>
              <w:rPr>
                <w:rFonts w:ascii="Calibri" w:cs="Calibri" w:eastAsia="Calibri" w:hAnsi="Calibri"/>
                <w:b/>
                <w:bCs/>
                <w:color w:val="FFFFFF"/>
                <w:sz w:val="19"/>
                <w:szCs w:val="19"/>
              </w:rPr>
              <w:t xml:space="preserve">Source</w:t>
            </w:r>
          </w:p>
        </w:tc>
        <w:tc>
          <w:tcPr>
            <w:tcW w:type="dxa" w:w="4226"/>
            <w:tcBorders>
              <w:top w:val="single" w:color="8E2B2B" w:sz="4"/>
              <w:left w:val="single" w:color="8E2B2B" w:sz="4"/>
              <w:bottom w:val="single" w:color="8E2B2B" w:sz="4"/>
              <w:right w:val="single" w:color="8E2B2B" w:sz="4"/>
            </w:tcBorders>
            <w:shd w:fill="8E2B2B" w:color="auto" w:val="clear"/>
            <w:tcMar>
              <w:top w:type="dxa" w:w="70"/>
              <w:left w:type="dxa" w:w="110"/>
              <w:bottom w:type="dxa" w:w="70"/>
              <w:right w:type="dxa" w:w="110"/>
            </w:tcMar>
            <w:vAlign w:val="top"/>
          </w:tcPr>
          <w:p>
            <w:pPr>
              <w:spacing w:after="40" w:line="260" w:lineRule="auto"/>
            </w:pPr>
            <w:r>
              <w:rPr>
                <w:rFonts w:ascii="Calibri" w:cs="Calibri" w:eastAsia="Calibri" w:hAnsi="Calibri"/>
                <w:b/>
                <w:bCs/>
                <w:color w:val="FFFFFF"/>
                <w:sz w:val="19"/>
                <w:szCs w:val="19"/>
              </w:rPr>
              <w:t xml:space="preserve">Needed by this module</w:t>
            </w:r>
          </w:p>
        </w:tc>
        <w:tc>
          <w:tcPr>
            <w:tcW w:type="dxa" w:w="2400"/>
            <w:tcBorders>
              <w:top w:val="single" w:color="8E2B2B" w:sz="4"/>
              <w:left w:val="single" w:color="8E2B2B" w:sz="4"/>
              <w:bottom w:val="single" w:color="8E2B2B" w:sz="4"/>
              <w:right w:val="single" w:color="8E2B2B" w:sz="4"/>
            </w:tcBorders>
            <w:shd w:fill="8E2B2B" w:color="auto" w:val="clear"/>
            <w:tcMar>
              <w:top w:type="dxa" w:w="70"/>
              <w:left w:type="dxa" w:w="110"/>
              <w:bottom w:type="dxa" w:w="70"/>
              <w:right w:type="dxa" w:w="110"/>
            </w:tcMar>
            <w:vAlign w:val="top"/>
          </w:tcPr>
          <w:p>
            <w:pPr>
              <w:spacing w:after="40" w:line="260" w:lineRule="auto"/>
            </w:pPr>
            <w:r>
              <w:rPr>
                <w:rFonts w:ascii="Calibri" w:cs="Calibri" w:eastAsia="Calibri" w:hAnsi="Calibri"/>
                <w:b/>
                <w:bCs/>
                <w:color w:val="FFFFFF"/>
                <w:sz w:val="19"/>
                <w:szCs w:val="19"/>
              </w:rPr>
              <w:t xml:space="preserve">Why</w:t>
            </w:r>
          </w:p>
        </w:tc>
      </w:tr>
      <w:tr>
        <w:trPr>
          <w:cantSplit/>
        </w:trPr>
        <w:tc>
          <w:tcPr>
            <w:tcW w:type="dxa" w:w="2400"/>
            <w:tcBorders>
              <w:top w:val="single" w:color="BFBFBF" w:sz="4"/>
              <w:left w:val="single" w:color="BFBFBF" w:sz="4"/>
              <w:bottom w:val="single" w:color="BFBFBF" w:sz="4"/>
              <w:right w:val="single" w:color="BFBFBF" w:sz="4"/>
            </w:tcBorders>
            <w:shd w:fill="F8EDED" w:color="auto" w:val="clear"/>
            <w:tcMar>
              <w:top w:type="dxa" w:w="70"/>
              <w:left w:type="dxa" w:w="110"/>
              <w:bottom w:type="dxa" w:w="70"/>
              <w:right w:type="dxa" w:w="110"/>
            </w:tcMar>
            <w:vAlign w:val="top"/>
          </w:tcPr>
          <w:p>
            <w:pPr>
              <w:spacing w:after="40" w:line="260" w:lineRule="auto"/>
            </w:pPr>
            <w:r>
              <w:rPr>
                <w:rFonts w:ascii="Calibri" w:cs="Calibri" w:eastAsia="Calibri" w:hAnsi="Calibri"/>
                <w:b/>
                <w:bCs/>
                <w:sz w:val="19"/>
                <w:szCs w:val="19"/>
              </w:rPr>
              <w:t xml:space="preserve">Person 1 · SupplyChainTimeSeries</w:t>
            </w:r>
          </w:p>
        </w:tc>
        <w:tc>
          <w:tcPr>
            <w:tcW w:type="dxa" w:w="4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0" w:lineRule="auto"/>
            </w:pPr>
            <w:r>
              <w:rPr>
                <w:rFonts w:ascii="Calibri" w:cs="Calibri" w:eastAsia="Calibri" w:hAnsi="Calibri"/>
                <w:b w:val="false"/>
                <w:bCs w:val="false"/>
                <w:sz w:val="19"/>
                <w:szCs w:val="19"/>
              </w:rPr>
              <w:t xml:space="preserve">Temporal risk features with series and time-window references.</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0" w:lineRule="auto"/>
            </w:pPr>
            <w:r>
              <w:rPr>
                <w:rFonts w:ascii="Calibri" w:cs="Calibri" w:eastAsia="Calibri" w:hAnsi="Calibri"/>
                <w:b w:val="false"/>
                <w:bCs w:val="false"/>
                <w:sz w:val="19"/>
                <w:szCs w:val="19"/>
              </w:rPr>
              <w:t xml:space="preserve">Numerical attribution and structured evidence.</w:t>
            </w:r>
          </w:p>
        </w:tc>
      </w:tr>
      <w:tr>
        <w:trPr>
          <w:cantSplit/>
        </w:trPr>
        <w:tc>
          <w:tcPr>
            <w:tcW w:type="dxa" w:w="2400"/>
            <w:tcBorders>
              <w:top w:val="single" w:color="BFBFBF" w:sz="4"/>
              <w:left w:val="single" w:color="BFBFBF" w:sz="4"/>
              <w:bottom w:val="single" w:color="BFBFBF" w:sz="4"/>
              <w:right w:val="single" w:color="BFBFBF" w:sz="4"/>
            </w:tcBorders>
            <w:shd w:fill="F8EDED" w:color="auto" w:val="clear"/>
            <w:tcMar>
              <w:top w:type="dxa" w:w="70"/>
              <w:left w:type="dxa" w:w="110"/>
              <w:bottom w:type="dxa" w:w="70"/>
              <w:right w:type="dxa" w:w="110"/>
            </w:tcMar>
            <w:vAlign w:val="top"/>
          </w:tcPr>
          <w:p>
            <w:pPr>
              <w:spacing w:after="40" w:line="260" w:lineRule="auto"/>
            </w:pPr>
            <w:r>
              <w:rPr>
                <w:rFonts w:ascii="Calibri" w:cs="Calibri" w:eastAsia="Calibri" w:hAnsi="Calibri"/>
                <w:b/>
                <w:bCs/>
                <w:sz w:val="19"/>
                <w:szCs w:val="19"/>
              </w:rPr>
              <w:t xml:space="preserve">Person 2 · SupplyChainNLP</w:t>
            </w:r>
          </w:p>
        </w:tc>
        <w:tc>
          <w:tcPr>
            <w:tcW w:type="dxa" w:w="4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0" w:lineRule="auto"/>
            </w:pPr>
            <w:r>
              <w:rPr>
                <w:rFonts w:ascii="Calibri" w:cs="Calibri" w:eastAsia="Calibri" w:hAnsi="Calibri"/>
                <w:b w:val="false"/>
                <w:bCs w:val="false"/>
                <w:sz w:val="19"/>
                <w:szCs w:val="19"/>
              </w:rPr>
              <w:t xml:space="preserve">Extracted events and text items with source identifiers and embeddings.</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0" w:lineRule="auto"/>
            </w:pPr>
            <w:r>
              <w:rPr>
                <w:rFonts w:ascii="Calibri" w:cs="Calibri" w:eastAsia="Calibri" w:hAnsi="Calibri"/>
                <w:b w:val="false"/>
                <w:bCs w:val="false"/>
                <w:sz w:val="19"/>
                <w:szCs w:val="19"/>
              </w:rPr>
              <w:t xml:space="preserve">Text attribution and news evidence.</w:t>
            </w:r>
          </w:p>
        </w:tc>
      </w:tr>
      <w:tr>
        <w:trPr>
          <w:cantSplit/>
        </w:trPr>
        <w:tc>
          <w:tcPr>
            <w:tcW w:type="dxa" w:w="2400"/>
            <w:tcBorders>
              <w:top w:val="single" w:color="BFBFBF" w:sz="4"/>
              <w:left w:val="single" w:color="BFBFBF" w:sz="4"/>
              <w:bottom w:val="single" w:color="BFBFBF" w:sz="4"/>
              <w:right w:val="single" w:color="BFBFBF" w:sz="4"/>
            </w:tcBorders>
            <w:shd w:fill="F8EDED" w:color="auto" w:val="clear"/>
            <w:tcMar>
              <w:top w:type="dxa" w:w="70"/>
              <w:left w:type="dxa" w:w="110"/>
              <w:bottom w:type="dxa" w:w="70"/>
              <w:right w:type="dxa" w:w="110"/>
            </w:tcMar>
            <w:vAlign w:val="top"/>
          </w:tcPr>
          <w:p>
            <w:pPr>
              <w:spacing w:after="40" w:line="260" w:lineRule="auto"/>
            </w:pPr>
            <w:r>
              <w:rPr>
                <w:rFonts w:ascii="Calibri" w:cs="Calibri" w:eastAsia="Calibri" w:hAnsi="Calibri"/>
                <w:b/>
                <w:bCs/>
                <w:sz w:val="19"/>
                <w:szCs w:val="19"/>
              </w:rPr>
              <w:t xml:space="preserve">Person 3 · SupplyChainEventRisk</w:t>
            </w:r>
          </w:p>
        </w:tc>
        <w:tc>
          <w:tcPr>
            <w:tcW w:type="dxa" w:w="4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0" w:lineRule="auto"/>
            </w:pPr>
            <w:r>
              <w:rPr>
                <w:rFonts w:ascii="Calibri" w:cs="Calibri" w:eastAsia="Calibri" w:hAnsi="Calibri"/>
                <w:b w:val="false"/>
                <w:bCs w:val="false"/>
                <w:sz w:val="19"/>
                <w:szCs w:val="19"/>
              </w:rPr>
              <w:t xml:space="preserve">Event records and event-to-node mappings with source identifiers.</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0" w:lineRule="auto"/>
            </w:pPr>
            <w:r>
              <w:rPr>
                <w:rFonts w:ascii="Calibri" w:cs="Calibri" w:eastAsia="Calibri" w:hAnsi="Calibri"/>
                <w:b w:val="false"/>
                <w:bCs w:val="false"/>
                <w:sz w:val="19"/>
                <w:szCs w:val="19"/>
              </w:rPr>
              <w:t xml:space="preserve">Event attribution and external-event evidence.</w:t>
            </w:r>
          </w:p>
        </w:tc>
      </w:tr>
      <w:tr>
        <w:trPr>
          <w:cantSplit/>
        </w:trPr>
        <w:tc>
          <w:tcPr>
            <w:tcW w:type="dxa" w:w="2400"/>
            <w:tcBorders>
              <w:top w:val="single" w:color="BFBFBF" w:sz="4"/>
              <w:left w:val="single" w:color="BFBFBF" w:sz="4"/>
              <w:bottom w:val="single" w:color="BFBFBF" w:sz="4"/>
              <w:right w:val="single" w:color="BFBFBF" w:sz="4"/>
            </w:tcBorders>
            <w:shd w:fill="F8EDED" w:color="auto" w:val="clear"/>
            <w:tcMar>
              <w:top w:type="dxa" w:w="70"/>
              <w:left w:type="dxa" w:w="110"/>
              <w:bottom w:type="dxa" w:w="70"/>
              <w:right w:type="dxa" w:w="110"/>
            </w:tcMar>
            <w:vAlign w:val="top"/>
          </w:tcPr>
          <w:p>
            <w:pPr>
              <w:spacing w:after="40" w:line="260" w:lineRule="auto"/>
            </w:pPr>
            <w:r>
              <w:rPr>
                <w:rFonts w:ascii="Calibri" w:cs="Calibri" w:eastAsia="Calibri" w:hAnsi="Calibri"/>
                <w:b/>
                <w:bCs/>
                <w:sz w:val="19"/>
                <w:szCs w:val="19"/>
              </w:rPr>
              <w:t xml:space="preserve">Person 4 · MultimodalWarning</w:t>
            </w:r>
          </w:p>
        </w:tc>
        <w:tc>
          <w:tcPr>
            <w:tcW w:type="dxa" w:w="4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0" w:lineRule="auto"/>
            </w:pPr>
            <w:r>
              <w:rPr>
                <w:rFonts w:ascii="Calibri" w:cs="Calibri" w:eastAsia="Calibri" w:hAnsi="Calibri"/>
                <w:b w:val="false"/>
                <w:bCs w:val="false"/>
                <w:sz w:val="19"/>
                <w:szCs w:val="19"/>
              </w:rPr>
              <w:t xml:space="preserve">Trained early, intermediate and late fusion models, predictions, aligned inputs and access to model internals.</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0" w:lineRule="auto"/>
            </w:pPr>
            <w:r>
              <w:rPr>
                <w:rFonts w:ascii="Calibri" w:cs="Calibri" w:eastAsia="Calibri" w:hAnsi="Calibri"/>
                <w:b w:val="false"/>
                <w:bCs w:val="false"/>
                <w:sz w:val="19"/>
                <w:szCs w:val="19"/>
              </w:rPr>
              <w:t xml:space="preserve">Attribution needs the model itself, not only its outputs.</w:t>
            </w:r>
          </w:p>
        </w:tc>
      </w:tr>
    </w:tbl>
    <w:p>
      <w:pPr>
        <w:spacing w:after="120" w:before="100" w:line="288" w:lineRule="auto"/>
      </w:pPr>
      <w:r>
        <w:rPr>
          <w:rFonts w:ascii="Calibri" w:cs="Calibri" w:eastAsia="Calibri" w:hAnsi="Calibri"/>
          <w:b/>
          <w:bCs/>
          <w:sz w:val="21"/>
          <w:szCs w:val="21"/>
        </w:rPr>
        <w:t xml:space="preserve">Provenance requirement.</w:t>
      </w:r>
      <w:r>
        <w:rPr>
          <w:rFonts w:ascii="Calibri" w:cs="Calibri" w:eastAsia="Calibri" w:hAnsi="Calibri"/>
          <w:sz w:val="21"/>
          <w:szCs w:val="21"/>
        </w:rPr>
        <w:t xml:space="preserve"> Every feature, text item or event record passed to this module must carry a reference to its source (record, article or event identifier) and a timestamp. Without this, explanations cannot be grounded in real evidence. The interface is a proposal to be confirmed with the other four members.</w:t>
      </w:r>
    </w:p>
    <w:p>
      <w:pPr>
        <w:pStyle w:val="Heading1"/>
        <w:keepNext/>
        <w:pBdr>
          <w:bottom w:val="single" w:color="8E2B2B" w:sz="8" w:space="3"/>
        </w:pBdr>
        <w:spacing w:after="140" w:before="360"/>
      </w:pPr>
      <w:r>
        <w:rPr>
          <w:rFonts w:ascii="Calibri" w:cs="Calibri" w:eastAsia="Calibri" w:hAnsi="Calibri"/>
          <w:b/>
          <w:bCs/>
          <w:color w:val="8E2B2B"/>
          <w:sz w:val="30"/>
          <w:szCs w:val="30"/>
        </w:rPr>
        <w:t xml:space="preserve">2. Research Problem</w:t>
      </w:r>
    </w:p>
    <w:p>
      <w:pPr>
        <w:spacing w:after="120" w:before="0" w:line="288" w:lineRule="auto"/>
      </w:pPr>
      <w:r>
        <w:rPr>
          <w:rFonts w:ascii="Calibri" w:cs="Calibri" w:eastAsia="Calibri" w:hAnsi="Calibri"/>
          <w:sz w:val="21"/>
          <w:szCs w:val="21"/>
        </w:rPr>
        <w:t xml:space="preserve">An ordinary multimodal early-warning system may output only a score such as “disruption probability = 84%”. A score alone does not let a decision-maker judge whether the warning should be trusted or acted on. The questions below remain unanswered, and each is addressed by a specific component of this contribution.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3426"/>
        <w:gridCol w:w="2300"/>
      </w:tblGrid>
      <w:tr>
        <w:trPr>
          <w:cantSplit/>
          <w:tblHeader/>
        </w:trPr>
        <w:tc>
          <w:tcPr>
            <w:tcW w:type="dxa" w:w="3300"/>
            <w:tcBorders>
              <w:top w:val="single" w:color="8E2B2B" w:sz="4"/>
              <w:left w:val="single" w:color="8E2B2B" w:sz="4"/>
              <w:bottom w:val="single" w:color="8E2B2B" w:sz="4"/>
              <w:right w:val="single" w:color="8E2B2B" w:sz="4"/>
            </w:tcBorders>
            <w:shd w:fill="8E2B2B" w:color="auto" w:val="clear"/>
            <w:tcMar>
              <w:top w:type="dxa" w:w="70"/>
              <w:left w:type="dxa" w:w="110"/>
              <w:bottom w:type="dxa" w:w="70"/>
              <w:right w:type="dxa" w:w="110"/>
            </w:tcMar>
            <w:vAlign w:val="top"/>
          </w:tcPr>
          <w:p>
            <w:pPr>
              <w:spacing w:after="40" w:line="260" w:lineRule="auto"/>
            </w:pPr>
            <w:r>
              <w:rPr>
                <w:rFonts w:ascii="Calibri" w:cs="Calibri" w:eastAsia="Calibri" w:hAnsi="Calibri"/>
                <w:b/>
                <w:bCs/>
                <w:color w:val="FFFFFF"/>
                <w:sz w:val="19"/>
                <w:szCs w:val="19"/>
              </w:rPr>
              <w:t xml:space="preserve">Question a decision-maker will ask</w:t>
            </w:r>
          </w:p>
        </w:tc>
        <w:tc>
          <w:tcPr>
            <w:tcW w:type="dxa" w:w="3426"/>
            <w:tcBorders>
              <w:top w:val="single" w:color="8E2B2B" w:sz="4"/>
              <w:left w:val="single" w:color="8E2B2B" w:sz="4"/>
              <w:bottom w:val="single" w:color="8E2B2B" w:sz="4"/>
              <w:right w:val="single" w:color="8E2B2B" w:sz="4"/>
            </w:tcBorders>
            <w:shd w:fill="8E2B2B" w:color="auto" w:val="clear"/>
            <w:tcMar>
              <w:top w:type="dxa" w:w="70"/>
              <w:left w:type="dxa" w:w="110"/>
              <w:bottom w:type="dxa" w:w="70"/>
              <w:right w:type="dxa" w:w="110"/>
            </w:tcMar>
            <w:vAlign w:val="top"/>
          </w:tcPr>
          <w:p>
            <w:pPr>
              <w:spacing w:after="40" w:line="260" w:lineRule="auto"/>
            </w:pPr>
            <w:r>
              <w:rPr>
                <w:rFonts w:ascii="Calibri" w:cs="Calibri" w:eastAsia="Calibri" w:hAnsi="Calibri"/>
                <w:b/>
                <w:bCs/>
                <w:color w:val="FFFFFF"/>
                <w:sz w:val="19"/>
                <w:szCs w:val="19"/>
              </w:rPr>
              <w:t xml:space="preserve">What a bare probability cannot provide</w:t>
            </w:r>
          </w:p>
        </w:tc>
        <w:tc>
          <w:tcPr>
            <w:tcW w:type="dxa" w:w="2300"/>
            <w:tcBorders>
              <w:top w:val="single" w:color="8E2B2B" w:sz="4"/>
              <w:left w:val="single" w:color="8E2B2B" w:sz="4"/>
              <w:bottom w:val="single" w:color="8E2B2B" w:sz="4"/>
              <w:right w:val="single" w:color="8E2B2B" w:sz="4"/>
            </w:tcBorders>
            <w:shd w:fill="8E2B2B" w:color="auto" w:val="clear"/>
            <w:tcMar>
              <w:top w:type="dxa" w:w="70"/>
              <w:left w:type="dxa" w:w="110"/>
              <w:bottom w:type="dxa" w:w="70"/>
              <w:right w:type="dxa" w:w="110"/>
            </w:tcMar>
            <w:vAlign w:val="top"/>
          </w:tcPr>
          <w:p>
            <w:pPr>
              <w:spacing w:after="40" w:line="260" w:lineRule="auto"/>
            </w:pPr>
            <w:r>
              <w:rPr>
                <w:rFonts w:ascii="Calibri" w:cs="Calibri" w:eastAsia="Calibri" w:hAnsi="Calibri"/>
                <w:b/>
                <w:bCs/>
                <w:color w:val="FFFFFF"/>
                <w:sz w:val="19"/>
                <w:szCs w:val="19"/>
              </w:rPr>
              <w:t xml:space="preserve">Addressed by</w:t>
            </w:r>
          </w:p>
        </w:tc>
      </w:tr>
      <w:tr>
        <w:trPr>
          <w:cantSplit/>
        </w:trPr>
        <w:tc>
          <w:tcPr>
            <w:tcW w:type="dxa" w:w="3300"/>
            <w:tcBorders>
              <w:top w:val="single" w:color="BFBFBF" w:sz="4"/>
              <w:left w:val="single" w:color="BFBFBF" w:sz="4"/>
              <w:bottom w:val="single" w:color="BFBFBF" w:sz="4"/>
              <w:right w:val="single" w:color="BFBFBF" w:sz="4"/>
            </w:tcBorders>
            <w:shd w:fill="F8EDED" w:color="auto" w:val="clear"/>
            <w:tcMar>
              <w:top w:type="dxa" w:w="70"/>
              <w:left w:type="dxa" w:w="110"/>
              <w:bottom w:type="dxa" w:w="70"/>
              <w:right w:type="dxa" w:w="110"/>
            </w:tcMar>
            <w:vAlign w:val="top"/>
          </w:tcPr>
          <w:p>
            <w:pPr>
              <w:spacing w:after="40" w:line="260" w:lineRule="auto"/>
            </w:pPr>
            <w:r>
              <w:rPr>
                <w:rFonts w:ascii="Calibri" w:cs="Calibri" w:eastAsia="Calibri" w:hAnsi="Calibri"/>
                <w:b/>
                <w:bCs/>
                <w:sz w:val="19"/>
                <w:szCs w:val="19"/>
              </w:rPr>
              <w:t xml:space="preserve">Why is the risk high?</w:t>
            </w:r>
          </w:p>
        </w:tc>
        <w:tc>
          <w:tcPr>
            <w:tcW w:type="dxa" w:w="34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0" w:lineRule="auto"/>
            </w:pPr>
            <w:r>
              <w:rPr>
                <w:rFonts w:ascii="Calibri" w:cs="Calibri" w:eastAsia="Calibri" w:hAnsi="Calibri"/>
                <w:b w:val="false"/>
                <w:bCs w:val="false"/>
                <w:sz w:val="19"/>
                <w:szCs w:val="19"/>
              </w:rPr>
              <w:t xml:space="preserve">No reasons, only a number.</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0" w:lineRule="auto"/>
            </w:pPr>
            <w:r>
              <w:rPr>
                <w:rFonts w:ascii="Calibri" w:cs="Calibri" w:eastAsia="Calibri" w:hAnsi="Calibri"/>
                <w:b w:val="false"/>
                <w:bCs w:val="false"/>
                <w:sz w:val="19"/>
                <w:szCs w:val="19"/>
              </w:rPr>
              <w:t xml:space="preserve">Attribution (A–D)</w:t>
            </w:r>
          </w:p>
        </w:tc>
      </w:tr>
      <w:tr>
        <w:trPr>
          <w:cantSplit/>
        </w:trPr>
        <w:tc>
          <w:tcPr>
            <w:tcW w:type="dxa" w:w="3300"/>
            <w:tcBorders>
              <w:top w:val="single" w:color="BFBFBF" w:sz="4"/>
              <w:left w:val="single" w:color="BFBFBF" w:sz="4"/>
              <w:bottom w:val="single" w:color="BFBFBF" w:sz="4"/>
              <w:right w:val="single" w:color="BFBFBF" w:sz="4"/>
            </w:tcBorders>
            <w:shd w:fill="F8EDED" w:color="auto" w:val="clear"/>
            <w:tcMar>
              <w:top w:type="dxa" w:w="70"/>
              <w:left w:type="dxa" w:w="110"/>
              <w:bottom w:type="dxa" w:w="70"/>
              <w:right w:type="dxa" w:w="110"/>
            </w:tcMar>
            <w:vAlign w:val="top"/>
          </w:tcPr>
          <w:p>
            <w:pPr>
              <w:spacing w:after="40" w:line="260" w:lineRule="auto"/>
            </w:pPr>
            <w:r>
              <w:rPr>
                <w:rFonts w:ascii="Calibri" w:cs="Calibri" w:eastAsia="Calibri" w:hAnsi="Calibri"/>
                <w:b/>
                <w:bCs/>
                <w:sz w:val="19"/>
                <w:szCs w:val="19"/>
              </w:rPr>
              <w:t xml:space="preserve">Which modality contributed most?</w:t>
            </w:r>
          </w:p>
        </w:tc>
        <w:tc>
          <w:tcPr>
            <w:tcW w:type="dxa" w:w="34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0" w:lineRule="auto"/>
            </w:pPr>
            <w:r>
              <w:rPr>
                <w:rFonts w:ascii="Calibri" w:cs="Calibri" w:eastAsia="Calibri" w:hAnsi="Calibri"/>
                <w:b w:val="false"/>
                <w:bCs w:val="false"/>
                <w:sz w:val="19"/>
                <w:szCs w:val="19"/>
              </w:rPr>
              <w:t xml:space="preserve">Fusion hides modality-level contribution.</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0" w:lineRule="auto"/>
            </w:pPr>
            <w:r>
              <w:rPr>
                <w:rFonts w:ascii="Calibri" w:cs="Calibri" w:eastAsia="Calibri" w:hAnsi="Calibri"/>
                <w:b w:val="false"/>
                <w:bCs w:val="false"/>
                <w:sz w:val="19"/>
                <w:szCs w:val="19"/>
              </w:rPr>
              <w:t xml:space="preserve">Cross-modal attribution (D)</w:t>
            </w:r>
          </w:p>
        </w:tc>
      </w:tr>
      <w:tr>
        <w:trPr>
          <w:cantSplit/>
        </w:trPr>
        <w:tc>
          <w:tcPr>
            <w:tcW w:type="dxa" w:w="3300"/>
            <w:tcBorders>
              <w:top w:val="single" w:color="BFBFBF" w:sz="4"/>
              <w:left w:val="single" w:color="BFBFBF" w:sz="4"/>
              <w:bottom w:val="single" w:color="BFBFBF" w:sz="4"/>
              <w:right w:val="single" w:color="BFBFBF" w:sz="4"/>
            </w:tcBorders>
            <w:shd w:fill="F8EDED" w:color="auto" w:val="clear"/>
            <w:tcMar>
              <w:top w:type="dxa" w:w="70"/>
              <w:left w:type="dxa" w:w="110"/>
              <w:bottom w:type="dxa" w:w="70"/>
              <w:right w:type="dxa" w:w="110"/>
            </w:tcMar>
            <w:vAlign w:val="top"/>
          </w:tcPr>
          <w:p>
            <w:pPr>
              <w:spacing w:after="40" w:line="260" w:lineRule="auto"/>
            </w:pPr>
            <w:r>
              <w:rPr>
                <w:rFonts w:ascii="Calibri" w:cs="Calibri" w:eastAsia="Calibri" w:hAnsi="Calibri"/>
                <w:b/>
                <w:bCs/>
                <w:sz w:val="19"/>
                <w:szCs w:val="19"/>
              </w:rPr>
              <w:t xml:space="preserve">Which specific features caused the warning?</w:t>
            </w:r>
          </w:p>
        </w:tc>
        <w:tc>
          <w:tcPr>
            <w:tcW w:type="dxa" w:w="34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0" w:lineRule="auto"/>
            </w:pPr>
            <w:r>
              <w:rPr>
                <w:rFonts w:ascii="Calibri" w:cs="Calibri" w:eastAsia="Calibri" w:hAnsi="Calibri"/>
                <w:b w:val="false"/>
                <w:bCs w:val="false"/>
                <w:sz w:val="19"/>
                <w:szCs w:val="19"/>
              </w:rPr>
              <w:t xml:space="preserve">Feature influence is internal to the model.</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0" w:lineRule="auto"/>
            </w:pPr>
            <w:r>
              <w:rPr>
                <w:rFonts w:ascii="Calibri" w:cs="Calibri" w:eastAsia="Calibri" w:hAnsi="Calibri"/>
                <w:b w:val="false"/>
                <w:bCs w:val="false"/>
                <w:sz w:val="19"/>
                <w:szCs w:val="19"/>
              </w:rPr>
              <w:t xml:space="preserve">Numerical attribution (A)</w:t>
            </w:r>
          </w:p>
        </w:tc>
      </w:tr>
      <w:tr>
        <w:trPr>
          <w:cantSplit/>
        </w:trPr>
        <w:tc>
          <w:tcPr>
            <w:tcW w:type="dxa" w:w="3300"/>
            <w:tcBorders>
              <w:top w:val="single" w:color="BFBFBF" w:sz="4"/>
              <w:left w:val="single" w:color="BFBFBF" w:sz="4"/>
              <w:bottom w:val="single" w:color="BFBFBF" w:sz="4"/>
              <w:right w:val="single" w:color="BFBFBF" w:sz="4"/>
            </w:tcBorders>
            <w:shd w:fill="F8EDED" w:color="auto" w:val="clear"/>
            <w:tcMar>
              <w:top w:type="dxa" w:w="70"/>
              <w:left w:type="dxa" w:w="110"/>
              <w:bottom w:type="dxa" w:w="70"/>
              <w:right w:type="dxa" w:w="110"/>
            </w:tcMar>
            <w:vAlign w:val="top"/>
          </w:tcPr>
          <w:p>
            <w:pPr>
              <w:spacing w:after="40" w:line="260" w:lineRule="auto"/>
            </w:pPr>
            <w:r>
              <w:rPr>
                <w:rFonts w:ascii="Calibri" w:cs="Calibri" w:eastAsia="Calibri" w:hAnsi="Calibri"/>
                <w:b/>
                <w:bCs/>
                <w:sz w:val="19"/>
                <w:szCs w:val="19"/>
              </w:rPr>
              <w:t xml:space="preserve">Which news or event evidence supports the warning?</w:t>
            </w:r>
          </w:p>
        </w:tc>
        <w:tc>
          <w:tcPr>
            <w:tcW w:type="dxa" w:w="34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0" w:lineRule="auto"/>
            </w:pPr>
            <w:r>
              <w:rPr>
                <w:rFonts w:ascii="Calibri" w:cs="Calibri" w:eastAsia="Calibri" w:hAnsi="Calibri"/>
                <w:b w:val="false"/>
                <w:bCs w:val="false"/>
                <w:sz w:val="19"/>
                <w:szCs w:val="19"/>
              </w:rPr>
              <w:t xml:space="preserve">No link to real source records.</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0" w:lineRule="auto"/>
            </w:pPr>
            <w:r>
              <w:rPr>
                <w:rFonts w:ascii="Calibri" w:cs="Calibri" w:eastAsia="Calibri" w:hAnsi="Calibri"/>
                <w:b w:val="false"/>
                <w:bCs w:val="false"/>
                <w:sz w:val="19"/>
                <w:szCs w:val="19"/>
              </w:rPr>
              <w:t xml:space="preserve">Text / event attribution and evidence retrieval (B, C, E)</w:t>
            </w:r>
          </w:p>
        </w:tc>
      </w:tr>
      <w:tr>
        <w:trPr>
          <w:cantSplit/>
        </w:trPr>
        <w:tc>
          <w:tcPr>
            <w:tcW w:type="dxa" w:w="3300"/>
            <w:tcBorders>
              <w:top w:val="single" w:color="BFBFBF" w:sz="4"/>
              <w:left w:val="single" w:color="BFBFBF" w:sz="4"/>
              <w:bottom w:val="single" w:color="BFBFBF" w:sz="4"/>
              <w:right w:val="single" w:color="BFBFBF" w:sz="4"/>
            </w:tcBorders>
            <w:shd w:fill="F8EDED" w:color="auto" w:val="clear"/>
            <w:tcMar>
              <w:top w:type="dxa" w:w="70"/>
              <w:left w:type="dxa" w:w="110"/>
              <w:bottom w:type="dxa" w:w="70"/>
              <w:right w:type="dxa" w:w="110"/>
            </w:tcMar>
            <w:vAlign w:val="top"/>
          </w:tcPr>
          <w:p>
            <w:pPr>
              <w:spacing w:after="40" w:line="260" w:lineRule="auto"/>
            </w:pPr>
            <w:r>
              <w:rPr>
                <w:rFonts w:ascii="Calibri" w:cs="Calibri" w:eastAsia="Calibri" w:hAnsi="Calibri"/>
                <w:b/>
                <w:bCs/>
                <w:sz w:val="19"/>
                <w:szCs w:val="19"/>
              </w:rPr>
              <w:t xml:space="preserve">How certain is the prediction?</w:t>
            </w:r>
          </w:p>
        </w:tc>
        <w:tc>
          <w:tcPr>
            <w:tcW w:type="dxa" w:w="34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0" w:lineRule="auto"/>
            </w:pPr>
            <w:r>
              <w:rPr>
                <w:rFonts w:ascii="Calibri" w:cs="Calibri" w:eastAsia="Calibri" w:hAnsi="Calibri"/>
                <w:b w:val="false"/>
                <w:bCs w:val="false"/>
                <w:sz w:val="19"/>
                <w:szCs w:val="19"/>
              </w:rPr>
              <w:t xml:space="preserve">Probability is not necessarily calibrated.</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0" w:lineRule="auto"/>
            </w:pPr>
            <w:r>
              <w:rPr>
                <w:rFonts w:ascii="Calibri" w:cs="Calibri" w:eastAsia="Calibri" w:hAnsi="Calibri"/>
                <w:b w:val="false"/>
                <w:bCs w:val="false"/>
                <w:sz w:val="19"/>
                <w:szCs w:val="19"/>
              </w:rPr>
              <w:t xml:space="preserve">Uncertainty estimation (G)</w:t>
            </w:r>
          </w:p>
        </w:tc>
      </w:tr>
      <w:tr>
        <w:trPr>
          <w:cantSplit/>
        </w:trPr>
        <w:tc>
          <w:tcPr>
            <w:tcW w:type="dxa" w:w="3300"/>
            <w:tcBorders>
              <w:top w:val="single" w:color="BFBFBF" w:sz="4"/>
              <w:left w:val="single" w:color="BFBFBF" w:sz="4"/>
              <w:bottom w:val="single" w:color="BFBFBF" w:sz="4"/>
              <w:right w:val="single" w:color="BFBFBF" w:sz="4"/>
            </w:tcBorders>
            <w:shd w:fill="F8EDED" w:color="auto" w:val="clear"/>
            <w:tcMar>
              <w:top w:type="dxa" w:w="70"/>
              <w:left w:type="dxa" w:w="110"/>
              <w:bottom w:type="dxa" w:w="70"/>
              <w:right w:type="dxa" w:w="110"/>
            </w:tcMar>
            <w:vAlign w:val="top"/>
          </w:tcPr>
          <w:p>
            <w:pPr>
              <w:spacing w:after="40" w:line="260" w:lineRule="auto"/>
            </w:pPr>
            <w:r>
              <w:rPr>
                <w:rFonts w:ascii="Calibri" w:cs="Calibri" w:eastAsia="Calibri" w:hAnsi="Calibri"/>
                <w:b/>
                <w:bCs/>
                <w:sz w:val="19"/>
                <w:szCs w:val="19"/>
              </w:rPr>
              <w:t xml:space="preserve">Is the explanation faithful to the model?</w:t>
            </w:r>
          </w:p>
        </w:tc>
        <w:tc>
          <w:tcPr>
            <w:tcW w:type="dxa" w:w="34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0" w:lineRule="auto"/>
            </w:pPr>
            <w:r>
              <w:rPr>
                <w:rFonts w:ascii="Calibri" w:cs="Calibri" w:eastAsia="Calibri" w:hAnsi="Calibri"/>
                <w:b w:val="false"/>
                <w:bCs w:val="false"/>
                <w:sz w:val="19"/>
                <w:szCs w:val="19"/>
              </w:rPr>
              <w:t xml:space="preserve">An explanation can look plausible without reflecting the model.</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0" w:lineRule="auto"/>
            </w:pPr>
            <w:r>
              <w:rPr>
                <w:rFonts w:ascii="Calibri" w:cs="Calibri" w:eastAsia="Calibri" w:hAnsi="Calibri"/>
                <w:b w:val="false"/>
                <w:bCs w:val="false"/>
                <w:sz w:val="19"/>
                <w:szCs w:val="19"/>
              </w:rPr>
              <w:t xml:space="preserve">Fidelity and stability evaluation</w:t>
            </w:r>
          </w:p>
        </w:tc>
      </w:tr>
      <w:tr>
        <w:trPr>
          <w:cantSplit/>
        </w:trPr>
        <w:tc>
          <w:tcPr>
            <w:tcW w:type="dxa" w:w="3300"/>
            <w:tcBorders>
              <w:top w:val="single" w:color="BFBFBF" w:sz="4"/>
              <w:left w:val="single" w:color="BFBFBF" w:sz="4"/>
              <w:bottom w:val="single" w:color="BFBFBF" w:sz="4"/>
              <w:right w:val="single" w:color="BFBFBF" w:sz="4"/>
            </w:tcBorders>
            <w:shd w:fill="F8EDED" w:color="auto" w:val="clear"/>
            <w:tcMar>
              <w:top w:type="dxa" w:w="70"/>
              <w:left w:type="dxa" w:w="110"/>
              <w:bottom w:type="dxa" w:w="70"/>
              <w:right w:type="dxa" w:w="110"/>
            </w:tcMar>
            <w:vAlign w:val="top"/>
          </w:tcPr>
          <w:p>
            <w:pPr>
              <w:spacing w:after="40" w:line="260" w:lineRule="auto"/>
            </w:pPr>
            <w:r>
              <w:rPr>
                <w:rFonts w:ascii="Calibri" w:cs="Calibri" w:eastAsia="Calibri" w:hAnsi="Calibri"/>
                <w:b/>
                <w:bCs/>
                <w:sz w:val="19"/>
                <w:szCs w:val="19"/>
              </w:rPr>
              <w:t xml:space="preserve">Is the evidence actually consistent with the prediction?</w:t>
            </w:r>
          </w:p>
        </w:tc>
        <w:tc>
          <w:tcPr>
            <w:tcW w:type="dxa" w:w="34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0" w:lineRule="auto"/>
            </w:pPr>
            <w:r>
              <w:rPr>
                <w:rFonts w:ascii="Calibri" w:cs="Calibri" w:eastAsia="Calibri" w:hAnsi="Calibri"/>
                <w:b w:val="false"/>
                <w:bCs w:val="false"/>
                <w:sz w:val="19"/>
                <w:szCs w:val="19"/>
              </w:rPr>
              <w:t xml:space="preserve">Retrieved evidence may not agree with the prediction.</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0" w:lineRule="auto"/>
            </w:pPr>
            <w:r>
              <w:rPr>
                <w:rFonts w:ascii="Calibri" w:cs="Calibri" w:eastAsia="Calibri" w:hAnsi="Calibri"/>
                <w:b w:val="false"/>
                <w:bCs w:val="false"/>
                <w:sz w:val="19"/>
                <w:szCs w:val="19"/>
              </w:rPr>
              <w:t xml:space="preserve">Evidence consistency verification (F)</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8EDED" w:sz="4"/>
              <w:left w:val="single" w:color="8E2B2B" w:sz="24"/>
              <w:bottom w:val="single" w:color="F8EDED" w:sz="4"/>
              <w:right w:val="single" w:color="F8EDED" w:sz="4"/>
            </w:tcBorders>
            <w:shd w:fill="F8EDED" w:color="auto" w:val="clear"/>
            <w:tcMar>
              <w:top w:type="dxa" w:w="110"/>
              <w:left w:type="dxa" w:w="200"/>
              <w:bottom w:type="dxa" w:w="90"/>
              <w:right w:type="dxa" w:w="160"/>
            </w:tcMar>
          </w:tcPr>
          <w:p>
            <w:pPr>
              <w:spacing w:after="60"/>
            </w:pPr>
            <w:r>
              <w:rPr>
                <w:rFonts w:ascii="Calibri" w:cs="Calibri" w:eastAsia="Calibri" w:hAnsi="Calibri"/>
                <w:b/>
                <w:bCs/>
                <w:color w:val="8E2B2B"/>
                <w:sz w:val="20"/>
                <w:szCs w:val="20"/>
              </w:rPr>
              <w:t xml:space="preserve">Novelty must be verified</w:t>
            </w:r>
          </w:p>
          <w:p>
            <w:pPr>
              <w:spacing w:after="40" w:line="260" w:lineRule="auto"/>
            </w:pPr>
            <w:r>
              <w:rPr>
                <w:rFonts w:ascii="Calibri" w:cs="Calibri" w:eastAsia="Calibri" w:hAnsi="Calibri"/>
                <w:sz w:val="19"/>
                <w:szCs w:val="19"/>
              </w:rPr>
              <w:t xml:space="preserve">The intended contribution is an integrated pipeline that links attribution to source evidence, verifies that evidence, and attaches calibrated uncertainty, for multimodal supply-chain early warning. Whether this combination is novel must be </w:t>
            </w:r>
            <w:r>
              <w:rPr>
                <w:rFonts w:ascii="Calibri" w:cs="Calibri" w:eastAsia="Calibri" w:hAnsi="Calibri"/>
                <w:b/>
                <w:bCs/>
                <w:sz w:val="19"/>
                <w:szCs w:val="19"/>
              </w:rPr>
              <w:t xml:space="preserve">confirmed by a systematic literature review</w:t>
            </w:r>
            <w:r>
              <w:rPr>
                <w:rFonts w:ascii="Calibri" w:cs="Calibri" w:eastAsia="Calibri" w:hAnsi="Calibri"/>
                <w:sz w:val="19"/>
                <w:szCs w:val="19"/>
              </w:rPr>
              <w:t xml:space="preserve"> before it is stated as a claim in any paper.</w:t>
            </w:r>
          </w:p>
        </w:tc>
      </w:tr>
    </w:tbl>
    <w:p>
      <w:r>
        <w:br w:type="page"/>
      </w:r>
    </w:p>
    <w:p>
      <w:pPr>
        <w:pStyle w:val="Heading1"/>
        <w:keepNext/>
        <w:pBdr>
          <w:bottom w:val="single" w:color="8E2B2B" w:sz="8" w:space="3"/>
        </w:pBdr>
        <w:spacing w:after="140" w:before="360"/>
      </w:pPr>
      <w:r>
        <w:rPr>
          <w:rFonts w:ascii="Calibri" w:cs="Calibri" w:eastAsia="Calibri" w:hAnsi="Calibri"/>
          <w:b/>
          <w:bCs/>
          <w:color w:val="8E2B2B"/>
          <w:sz w:val="30"/>
          <w:szCs w:val="30"/>
        </w:rPr>
        <w:t xml:space="preserve">3. Specific Architecture</w:t>
      </w:r>
    </w:p>
    <w:p>
      <w:pPr>
        <w:spacing w:after="120" w:before="0" w:line="288" w:lineRule="auto"/>
      </w:pPr>
      <w:r>
        <w:rPr>
          <w:rFonts w:ascii="Calibri" w:cs="Calibri" w:eastAsia="Calibri" w:hAnsi="Calibri"/>
          <w:sz w:val="21"/>
          <w:szCs w:val="21"/>
        </w:rPr>
        <w:t xml:space="preserve">The explainability engine sits after the multimodal model and its prediction. It consumes the prediction together with the aligned inputs of all three modality libraries, and produces an auditable report. Components are lettered A–G to match Figure 2.</w:t>
      </w:r>
    </w:p>
    <w:p>
      <w:pPr>
        <w:keepNext/>
        <w:spacing w:after="40" w:before="60"/>
        <w:jc w:val="center"/>
      </w:pPr>
      <w:r>
        <w:drawing>
          <wp:inline distT="0" distB="0" distL="0" distR="0">
            <wp:extent cx="3619500" cy="4543425"/>
            <wp:effectExtent t="0" r="0" b="0" l="0"/>
            <wp:docPr id="1" name="diagram2.png" descr="Architecture diagram" title="diagram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4543425"/>
                    </a:xfrm>
                    <a:prstGeom prst="rect">
                      <a:avLst/>
                    </a:prstGeom>
                  </pic:spPr>
                </pic:pic>
              </a:graphicData>
            </a:graphic>
          </wp:inline>
        </w:drawing>
      </w:r>
    </w:p>
    <w:p>
      <w:pPr>
        <w:spacing w:after="200" w:before="60"/>
        <w:jc w:val="center"/>
      </w:pPr>
      <w:r>
        <w:rPr>
          <w:rFonts w:ascii="Calibri" w:cs="Calibri" w:eastAsia="Calibri" w:hAnsi="Calibri"/>
          <w:i/>
          <w:iCs/>
          <w:color w:val="595959"/>
          <w:sz w:val="18"/>
          <w:szCs w:val="18"/>
        </w:rPr>
        <w:t xml:space="preserve">Figure 2. Architecture of the Explainability, Evidence &amp; Uncertainty module (Part 2).</w:t>
      </w:r>
    </w:p>
    <w:p>
      <w:pPr>
        <w:pStyle w:val="Heading2"/>
        <w:keepNext/>
        <w:spacing w:after="100" w:before="240"/>
      </w:pPr>
      <w:r>
        <w:rPr>
          <w:rFonts w:ascii="Calibri" w:cs="Calibri" w:eastAsia="Calibri" w:hAnsi="Calibri"/>
          <w:b/>
          <w:bCs/>
          <w:color w:val="8E2B2B"/>
          <w:sz w:val="25"/>
          <w:szCs w:val="25"/>
        </w:rPr>
        <w:t xml:space="preserve">A. Feature-level attribution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cantSplit/>
        </w:trPr>
        <w:tc>
          <w:tcPr>
            <w:tcW w:type="dxa" w:w="1900"/>
            <w:tcBorders>
              <w:top w:val="single" w:color="BFBFBF" w:sz="4"/>
              <w:left w:val="single" w:color="BFBFBF" w:sz="4"/>
              <w:bottom w:val="single" w:color="BFBFBF" w:sz="4"/>
              <w:right w:val="single" w:color="BFBFBF" w:sz="4"/>
            </w:tcBorders>
            <w:shd w:fill="F8EDED" w:color="auto" w:val="clear"/>
            <w:tcMar>
              <w:top w:type="dxa" w:w="70"/>
              <w:left w:type="dxa" w:w="110"/>
              <w:bottom w:type="dxa" w:w="70"/>
              <w:right w:type="dxa" w:w="110"/>
            </w:tcMar>
            <w:vAlign w:val="top"/>
          </w:tcPr>
          <w:p>
            <w:pPr>
              <w:keepNext/>
              <w:spacing w:after="40" w:line="260" w:lineRule="auto"/>
            </w:pPr>
            <w:r>
              <w:rPr>
                <w:rFonts w:ascii="Calibri" w:cs="Calibri" w:eastAsia="Calibri" w:hAnsi="Calibri"/>
                <w:b/>
                <w:bCs/>
                <w:color w:val="8E2B2B"/>
                <w:sz w:val="19"/>
                <w:szCs w:val="19"/>
              </w:rPr>
              <w:t xml:space="preserve">Purpose</w:t>
            </w:r>
          </w:p>
        </w:tc>
        <w:tc>
          <w:tcPr>
            <w:tcW w:type="dxa" w:w="71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spacing w:after="40" w:line="260" w:lineRule="auto"/>
            </w:pPr>
            <w:r>
              <w:rPr>
                <w:rFonts w:ascii="Calibri" w:cs="Calibri" w:eastAsia="Calibri" w:hAnsi="Calibri"/>
                <w:sz w:val="19"/>
                <w:szCs w:val="19"/>
              </w:rPr>
              <w:t xml:space="preserve">Identify which structured and time-series features push the prediction up or down.</w:t>
            </w:r>
          </w:p>
        </w:tc>
      </w:tr>
      <w:tr>
        <w:trPr>
          <w:cantSplit/>
        </w:trPr>
        <w:tc>
          <w:tcPr>
            <w:tcW w:type="dxa" w:w="1900"/>
            <w:tcBorders>
              <w:top w:val="single" w:color="BFBFBF" w:sz="4"/>
              <w:left w:val="single" w:color="BFBFBF" w:sz="4"/>
              <w:bottom w:val="single" w:color="BFBFBF" w:sz="4"/>
              <w:right w:val="single" w:color="BFBFBF" w:sz="4"/>
            </w:tcBorders>
            <w:shd w:fill="F8EDED" w:color="auto" w:val="clear"/>
            <w:tcMar>
              <w:top w:type="dxa" w:w="70"/>
              <w:left w:type="dxa" w:w="110"/>
              <w:bottom w:type="dxa" w:w="70"/>
              <w:right w:type="dxa" w:w="110"/>
            </w:tcMar>
            <w:vAlign w:val="top"/>
          </w:tcPr>
          <w:p>
            <w:pPr>
              <w:keepNext/>
              <w:spacing w:after="40" w:line="260" w:lineRule="auto"/>
            </w:pPr>
            <w:r>
              <w:rPr>
                <w:rFonts w:ascii="Calibri" w:cs="Calibri" w:eastAsia="Calibri" w:hAnsi="Calibri"/>
                <w:b/>
                <w:bCs/>
                <w:color w:val="8E2B2B"/>
                <w:sz w:val="19"/>
                <w:szCs w:val="19"/>
              </w:rPr>
              <w:t xml:space="preserve">Candidate methods</w:t>
            </w:r>
          </w:p>
        </w:tc>
        <w:tc>
          <w:tcPr>
            <w:tcW w:type="dxa" w:w="71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spacing w:after="40" w:line="260" w:lineRule="auto"/>
            </w:pPr>
            <w:r>
              <w:rPr>
                <w:rFonts w:ascii="Calibri" w:cs="Calibri" w:eastAsia="Calibri" w:hAnsi="Calibri"/>
                <w:sz w:val="19"/>
                <w:szCs w:val="19"/>
              </w:rPr>
              <w:t xml:space="preserve">SHAP or other suitable attribution techniques (for example gradient-based or perturbation-based methods). The method will be selected through comparison, not assumed.</w:t>
            </w:r>
          </w:p>
        </w:tc>
      </w:tr>
      <w:tr>
        <w:trPr>
          <w:cantSplit/>
        </w:trPr>
        <w:tc>
          <w:tcPr>
            <w:tcW w:type="dxa" w:w="1900"/>
            <w:tcBorders>
              <w:top w:val="single" w:color="BFBFBF" w:sz="4"/>
              <w:left w:val="single" w:color="BFBFBF" w:sz="4"/>
              <w:bottom w:val="single" w:color="BFBFBF" w:sz="4"/>
              <w:right w:val="single" w:color="BFBFBF" w:sz="4"/>
            </w:tcBorders>
            <w:shd w:fill="F8EDED" w:color="auto" w:val="clear"/>
            <w:tcMar>
              <w:top w:type="dxa" w:w="70"/>
              <w:left w:type="dxa" w:w="110"/>
              <w:bottom w:type="dxa" w:w="70"/>
              <w:right w:type="dxa" w:w="110"/>
            </w:tcMar>
            <w:vAlign w:val="top"/>
          </w:tcPr>
          <w:p>
            <w:pPr>
              <w:keepNext w:val="false"/>
              <w:spacing w:after="40" w:line="260" w:lineRule="auto"/>
            </w:pPr>
            <w:r>
              <w:rPr>
                <w:rFonts w:ascii="Calibri" w:cs="Calibri" w:eastAsia="Calibri" w:hAnsi="Calibri"/>
                <w:b/>
                <w:bCs/>
                <w:color w:val="8E2B2B"/>
                <w:sz w:val="19"/>
                <w:szCs w:val="19"/>
              </w:rPr>
              <w:t xml:space="preserve">Output</w:t>
            </w:r>
          </w:p>
        </w:tc>
        <w:tc>
          <w:tcPr>
            <w:tcW w:type="dxa" w:w="71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40" w:line="260" w:lineRule="auto"/>
            </w:pPr>
            <w:r>
              <w:rPr>
                <w:rFonts w:ascii="Calibri" w:cs="Calibri" w:eastAsia="Calibri" w:hAnsi="Calibri"/>
                <w:sz w:val="19"/>
                <w:szCs w:val="19"/>
              </w:rPr>
              <w:t xml:space="preserve">Ranked feature contributions per prediction, including the time window of influential lags.</w:t>
            </w:r>
          </w:p>
        </w:tc>
      </w:tr>
    </w:tbl>
    <w:p>
      <w:pPr>
        <w:pStyle w:val="Heading2"/>
        <w:keepNext/>
        <w:spacing w:after="100" w:before="240"/>
      </w:pPr>
      <w:r>
        <w:rPr>
          <w:rFonts w:ascii="Calibri" w:cs="Calibri" w:eastAsia="Calibri" w:hAnsi="Calibri"/>
          <w:b/>
          <w:bCs/>
          <w:color w:val="8E2B2B"/>
          <w:sz w:val="25"/>
          <w:szCs w:val="25"/>
        </w:rPr>
        <w:t xml:space="preserve">B. Text attribution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cantSplit/>
        </w:trPr>
        <w:tc>
          <w:tcPr>
            <w:tcW w:type="dxa" w:w="1900"/>
            <w:tcBorders>
              <w:top w:val="single" w:color="BFBFBF" w:sz="4"/>
              <w:left w:val="single" w:color="BFBFBF" w:sz="4"/>
              <w:bottom w:val="single" w:color="BFBFBF" w:sz="4"/>
              <w:right w:val="single" w:color="BFBFBF" w:sz="4"/>
            </w:tcBorders>
            <w:shd w:fill="F8EDED" w:color="auto" w:val="clear"/>
            <w:tcMar>
              <w:top w:type="dxa" w:w="70"/>
              <w:left w:type="dxa" w:w="110"/>
              <w:bottom w:type="dxa" w:w="70"/>
              <w:right w:type="dxa" w:w="110"/>
            </w:tcMar>
            <w:vAlign w:val="top"/>
          </w:tcPr>
          <w:p>
            <w:pPr>
              <w:keepNext/>
              <w:spacing w:after="40" w:line="260" w:lineRule="auto"/>
            </w:pPr>
            <w:r>
              <w:rPr>
                <w:rFonts w:ascii="Calibri" w:cs="Calibri" w:eastAsia="Calibri" w:hAnsi="Calibri"/>
                <w:b/>
                <w:bCs/>
                <w:color w:val="8E2B2B"/>
                <w:sz w:val="19"/>
                <w:szCs w:val="19"/>
              </w:rPr>
              <w:t xml:space="preserve">Purpose</w:t>
            </w:r>
          </w:p>
        </w:tc>
        <w:tc>
          <w:tcPr>
            <w:tcW w:type="dxa" w:w="71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spacing w:after="40" w:line="260" w:lineRule="auto"/>
            </w:pPr>
            <w:r>
              <w:rPr>
                <w:rFonts w:ascii="Calibri" w:cs="Calibri" w:eastAsia="Calibri" w:hAnsi="Calibri"/>
                <w:sz w:val="19"/>
                <w:szCs w:val="19"/>
              </w:rPr>
              <w:t xml:space="preserve">Identify which news or text information contributes to the warning.</w:t>
            </w:r>
          </w:p>
        </w:tc>
      </w:tr>
      <w:tr>
        <w:trPr>
          <w:cantSplit/>
        </w:trPr>
        <w:tc>
          <w:tcPr>
            <w:tcW w:type="dxa" w:w="1900"/>
            <w:tcBorders>
              <w:top w:val="single" w:color="BFBFBF" w:sz="4"/>
              <w:left w:val="single" w:color="BFBFBF" w:sz="4"/>
              <w:bottom w:val="single" w:color="BFBFBF" w:sz="4"/>
              <w:right w:val="single" w:color="BFBFBF" w:sz="4"/>
            </w:tcBorders>
            <w:shd w:fill="F8EDED" w:color="auto" w:val="clear"/>
            <w:tcMar>
              <w:top w:type="dxa" w:w="70"/>
              <w:left w:type="dxa" w:w="110"/>
              <w:bottom w:type="dxa" w:w="70"/>
              <w:right w:type="dxa" w:w="110"/>
            </w:tcMar>
            <w:vAlign w:val="top"/>
          </w:tcPr>
          <w:p>
            <w:pPr>
              <w:keepNext/>
              <w:spacing w:after="40" w:line="260" w:lineRule="auto"/>
            </w:pPr>
            <w:r>
              <w:rPr>
                <w:rFonts w:ascii="Calibri" w:cs="Calibri" w:eastAsia="Calibri" w:hAnsi="Calibri"/>
                <w:b/>
                <w:bCs/>
                <w:color w:val="8E2B2B"/>
                <w:sz w:val="19"/>
                <w:szCs w:val="19"/>
              </w:rPr>
              <w:t xml:space="preserve">Approach</w:t>
            </w:r>
          </w:p>
        </w:tc>
        <w:tc>
          <w:tcPr>
            <w:tcW w:type="dxa" w:w="71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spacing w:after="40" w:line="260" w:lineRule="auto"/>
            </w:pPr>
            <w:r>
              <w:rPr>
                <w:rFonts w:ascii="Calibri" w:cs="Calibri" w:eastAsia="Calibri" w:hAnsi="Calibri"/>
                <w:sz w:val="19"/>
                <w:szCs w:val="19"/>
              </w:rPr>
              <w:t xml:space="preserve">Attribute the prediction to specific articles, sentences or extracted events produced by SupplyChainNLP, using perturbation (masking or removing items) and attribution over text features or embeddings.</w:t>
            </w:r>
          </w:p>
        </w:tc>
      </w:tr>
      <w:tr>
        <w:trPr>
          <w:cantSplit/>
        </w:trPr>
        <w:tc>
          <w:tcPr>
            <w:tcW w:type="dxa" w:w="1900"/>
            <w:tcBorders>
              <w:top w:val="single" w:color="BFBFBF" w:sz="4"/>
              <w:left w:val="single" w:color="BFBFBF" w:sz="4"/>
              <w:bottom w:val="single" w:color="BFBFBF" w:sz="4"/>
              <w:right w:val="single" w:color="BFBFBF" w:sz="4"/>
            </w:tcBorders>
            <w:shd w:fill="F8EDED" w:color="auto" w:val="clear"/>
            <w:tcMar>
              <w:top w:type="dxa" w:w="70"/>
              <w:left w:type="dxa" w:w="110"/>
              <w:bottom w:type="dxa" w:w="70"/>
              <w:right w:type="dxa" w:w="110"/>
            </w:tcMar>
            <w:vAlign w:val="top"/>
          </w:tcPr>
          <w:p>
            <w:pPr>
              <w:keepNext w:val="false"/>
              <w:spacing w:after="40" w:line="260" w:lineRule="auto"/>
            </w:pPr>
            <w:r>
              <w:rPr>
                <w:rFonts w:ascii="Calibri" w:cs="Calibri" w:eastAsia="Calibri" w:hAnsi="Calibri"/>
                <w:b/>
                <w:bCs/>
                <w:color w:val="8E2B2B"/>
                <w:sz w:val="19"/>
                <w:szCs w:val="19"/>
              </w:rPr>
              <w:t xml:space="preserve">Output</w:t>
            </w:r>
          </w:p>
        </w:tc>
        <w:tc>
          <w:tcPr>
            <w:tcW w:type="dxa" w:w="71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40" w:line="260" w:lineRule="auto"/>
            </w:pPr>
            <w:r>
              <w:rPr>
                <w:rFonts w:ascii="Calibri" w:cs="Calibri" w:eastAsia="Calibri" w:hAnsi="Calibri"/>
                <w:sz w:val="19"/>
                <w:szCs w:val="19"/>
              </w:rPr>
              <w:t xml:space="preserve">Ranked list of text items with contribution scores and source references.</w:t>
            </w:r>
          </w:p>
        </w:tc>
      </w:tr>
    </w:tbl>
    <w:p>
      <w:pPr>
        <w:pStyle w:val="Heading2"/>
        <w:keepNext/>
        <w:spacing w:after="100" w:before="240"/>
      </w:pPr>
      <w:r>
        <w:rPr>
          <w:rFonts w:ascii="Calibri" w:cs="Calibri" w:eastAsia="Calibri" w:hAnsi="Calibri"/>
          <w:b/>
          <w:bCs/>
          <w:color w:val="8E2B2B"/>
          <w:sz w:val="25"/>
          <w:szCs w:val="25"/>
        </w:rPr>
        <w:t xml:space="preserve">C. Event attribution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cantSplit/>
        </w:trPr>
        <w:tc>
          <w:tcPr>
            <w:tcW w:type="dxa" w:w="1900"/>
            <w:tcBorders>
              <w:top w:val="single" w:color="BFBFBF" w:sz="4"/>
              <w:left w:val="single" w:color="BFBFBF" w:sz="4"/>
              <w:bottom w:val="single" w:color="BFBFBF" w:sz="4"/>
              <w:right w:val="single" w:color="BFBFBF" w:sz="4"/>
            </w:tcBorders>
            <w:shd w:fill="F8EDED" w:color="auto" w:val="clear"/>
            <w:tcMar>
              <w:top w:type="dxa" w:w="70"/>
              <w:left w:type="dxa" w:w="110"/>
              <w:bottom w:type="dxa" w:w="70"/>
              <w:right w:type="dxa" w:w="110"/>
            </w:tcMar>
            <w:vAlign w:val="top"/>
          </w:tcPr>
          <w:p>
            <w:pPr>
              <w:keepNext/>
              <w:spacing w:after="40" w:line="260" w:lineRule="auto"/>
            </w:pPr>
            <w:r>
              <w:rPr>
                <w:rFonts w:ascii="Calibri" w:cs="Calibri" w:eastAsia="Calibri" w:hAnsi="Calibri"/>
                <w:b/>
                <w:bCs/>
                <w:color w:val="8E2B2B"/>
                <w:sz w:val="19"/>
                <w:szCs w:val="19"/>
              </w:rPr>
              <w:t xml:space="preserve">Purpose</w:t>
            </w:r>
          </w:p>
        </w:tc>
        <w:tc>
          <w:tcPr>
            <w:tcW w:type="dxa" w:w="71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spacing w:after="40" w:line="260" w:lineRule="auto"/>
            </w:pPr>
            <w:r>
              <w:rPr>
                <w:rFonts w:ascii="Calibri" w:cs="Calibri" w:eastAsia="Calibri" w:hAnsi="Calibri"/>
                <w:sz w:val="19"/>
                <w:szCs w:val="19"/>
              </w:rPr>
              <w:t xml:space="preserve">Identify which external event (weather, geopolitical, infrastructure, logistics) contributes to the risk.</w:t>
            </w:r>
          </w:p>
        </w:tc>
      </w:tr>
      <w:tr>
        <w:trPr>
          <w:cantSplit/>
        </w:trPr>
        <w:tc>
          <w:tcPr>
            <w:tcW w:type="dxa" w:w="1900"/>
            <w:tcBorders>
              <w:top w:val="single" w:color="BFBFBF" w:sz="4"/>
              <w:left w:val="single" w:color="BFBFBF" w:sz="4"/>
              <w:bottom w:val="single" w:color="BFBFBF" w:sz="4"/>
              <w:right w:val="single" w:color="BFBFBF" w:sz="4"/>
            </w:tcBorders>
            <w:shd w:fill="F8EDED" w:color="auto" w:val="clear"/>
            <w:tcMar>
              <w:top w:type="dxa" w:w="70"/>
              <w:left w:type="dxa" w:w="110"/>
              <w:bottom w:type="dxa" w:w="70"/>
              <w:right w:type="dxa" w:w="110"/>
            </w:tcMar>
            <w:vAlign w:val="top"/>
          </w:tcPr>
          <w:p>
            <w:pPr>
              <w:keepNext/>
              <w:spacing w:after="40" w:line="260" w:lineRule="auto"/>
            </w:pPr>
            <w:r>
              <w:rPr>
                <w:rFonts w:ascii="Calibri" w:cs="Calibri" w:eastAsia="Calibri" w:hAnsi="Calibri"/>
                <w:b/>
                <w:bCs/>
                <w:color w:val="8E2B2B"/>
                <w:sz w:val="19"/>
                <w:szCs w:val="19"/>
              </w:rPr>
              <w:t xml:space="preserve">Approach</w:t>
            </w:r>
          </w:p>
        </w:tc>
        <w:tc>
          <w:tcPr>
            <w:tcW w:type="dxa" w:w="71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spacing w:after="40" w:line="260" w:lineRule="auto"/>
            </w:pPr>
            <w:r>
              <w:rPr>
                <w:rFonts w:ascii="Calibri" w:cs="Calibri" w:eastAsia="Calibri" w:hAnsi="Calibri"/>
                <w:sz w:val="19"/>
                <w:szCs w:val="19"/>
              </w:rPr>
              <w:t xml:space="preserve">Attribute to event records and event-to-node mappings produced by SupplyChainEventRisk, including spatial and temporal relevance to the affected node.</w:t>
            </w:r>
          </w:p>
        </w:tc>
      </w:tr>
      <w:tr>
        <w:trPr>
          <w:cantSplit/>
        </w:trPr>
        <w:tc>
          <w:tcPr>
            <w:tcW w:type="dxa" w:w="1900"/>
            <w:tcBorders>
              <w:top w:val="single" w:color="BFBFBF" w:sz="4"/>
              <w:left w:val="single" w:color="BFBFBF" w:sz="4"/>
              <w:bottom w:val="single" w:color="BFBFBF" w:sz="4"/>
              <w:right w:val="single" w:color="BFBFBF" w:sz="4"/>
            </w:tcBorders>
            <w:shd w:fill="F8EDED" w:color="auto" w:val="clear"/>
            <w:tcMar>
              <w:top w:type="dxa" w:w="70"/>
              <w:left w:type="dxa" w:w="110"/>
              <w:bottom w:type="dxa" w:w="70"/>
              <w:right w:type="dxa" w:w="110"/>
            </w:tcMar>
            <w:vAlign w:val="top"/>
          </w:tcPr>
          <w:p>
            <w:pPr>
              <w:keepNext w:val="false"/>
              <w:spacing w:after="40" w:line="260" w:lineRule="auto"/>
            </w:pPr>
            <w:r>
              <w:rPr>
                <w:rFonts w:ascii="Calibri" w:cs="Calibri" w:eastAsia="Calibri" w:hAnsi="Calibri"/>
                <w:b/>
                <w:bCs/>
                <w:color w:val="8E2B2B"/>
                <w:sz w:val="19"/>
                <w:szCs w:val="19"/>
              </w:rPr>
              <w:t xml:space="preserve">Output</w:t>
            </w:r>
          </w:p>
        </w:tc>
        <w:tc>
          <w:tcPr>
            <w:tcW w:type="dxa" w:w="71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40" w:line="260" w:lineRule="auto"/>
            </w:pPr>
            <w:r>
              <w:rPr>
                <w:rFonts w:ascii="Calibri" w:cs="Calibri" w:eastAsia="Calibri" w:hAnsi="Calibri"/>
                <w:sz w:val="19"/>
                <w:szCs w:val="19"/>
              </w:rPr>
              <w:t xml:space="preserve">Ranked list of events with contribution scores and affected supply-chain nodes.</w:t>
            </w:r>
          </w:p>
        </w:tc>
      </w:tr>
    </w:tbl>
    <w:p>
      <w:pPr>
        <w:pStyle w:val="Heading2"/>
        <w:keepNext/>
        <w:spacing w:after="100" w:before="240"/>
      </w:pPr>
      <w:r>
        <w:rPr>
          <w:rFonts w:ascii="Calibri" w:cs="Calibri" w:eastAsia="Calibri" w:hAnsi="Calibri"/>
          <w:b/>
          <w:bCs/>
          <w:color w:val="8E2B2B"/>
          <w:sz w:val="25"/>
          <w:szCs w:val="25"/>
        </w:rPr>
        <w:t xml:space="preserve">D. Cross-modal attribution</w:t>
      </w:r>
    </w:p>
    <w:p>
      <w:pPr>
        <w:spacing w:after="120" w:before="0" w:line="288" w:lineRule="auto"/>
      </w:pPr>
      <w:r>
        <w:rPr>
          <w:rFonts w:ascii="Calibri" w:cs="Calibri" w:eastAsia="Calibri" w:hAnsi="Calibri"/>
          <w:sz w:val="21"/>
          <w:szCs w:val="21"/>
        </w:rPr>
        <w:t xml:space="preserve">Calculates the relative contribution of each modality to the warning. A natural formulation is to treat each modality as a unit (a group of features) and measure its contribution through group-wise attribution or modality ablation. Attention weights alone are not assumed to be explanations; any attention-based variant must itself pass the fidelity tests of Section 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26"/>
      </w:tblGrid>
      <w:tr>
        <w:trPr>
          <w:cantSplit/>
          <w:tblHeader/>
        </w:trPr>
        <w:tc>
          <w:tcPr>
            <w:tcW w:type="dxa" w:w="3000"/>
            <w:tcBorders>
              <w:top w:val="single" w:color="8E2B2B" w:sz="4"/>
              <w:left w:val="single" w:color="8E2B2B" w:sz="4"/>
              <w:bottom w:val="single" w:color="8E2B2B" w:sz="4"/>
              <w:right w:val="single" w:color="8E2B2B" w:sz="4"/>
            </w:tcBorders>
            <w:shd w:fill="8E2B2B" w:color="auto" w:val="clear"/>
            <w:tcMar>
              <w:top w:type="dxa" w:w="70"/>
              <w:left w:type="dxa" w:w="110"/>
              <w:bottom w:type="dxa" w:w="70"/>
              <w:right w:type="dxa" w:w="110"/>
            </w:tcMar>
            <w:vAlign w:val="top"/>
          </w:tcPr>
          <w:p>
            <w:pPr>
              <w:spacing w:after="40" w:line="260" w:lineRule="auto"/>
            </w:pPr>
            <w:r>
              <w:rPr>
                <w:rFonts w:ascii="Calibri" w:cs="Calibri" w:eastAsia="Calibri" w:hAnsi="Calibri"/>
                <w:b/>
                <w:bCs/>
                <w:color w:val="FFFFFF"/>
                <w:sz w:val="19"/>
                <w:szCs w:val="19"/>
              </w:rPr>
              <w:t xml:space="preserve">Modality</w:t>
            </w:r>
          </w:p>
        </w:tc>
        <w:tc>
          <w:tcPr>
            <w:tcW w:type="dxa" w:w="2000"/>
            <w:tcBorders>
              <w:top w:val="single" w:color="8E2B2B" w:sz="4"/>
              <w:left w:val="single" w:color="8E2B2B" w:sz="4"/>
              <w:bottom w:val="single" w:color="8E2B2B" w:sz="4"/>
              <w:right w:val="single" w:color="8E2B2B" w:sz="4"/>
            </w:tcBorders>
            <w:shd w:fill="8E2B2B" w:color="auto" w:val="clear"/>
            <w:tcMar>
              <w:top w:type="dxa" w:w="70"/>
              <w:left w:type="dxa" w:w="110"/>
              <w:bottom w:type="dxa" w:w="70"/>
              <w:right w:type="dxa" w:w="110"/>
            </w:tcMar>
            <w:vAlign w:val="top"/>
          </w:tcPr>
          <w:p>
            <w:pPr>
              <w:spacing w:after="40" w:line="260" w:lineRule="auto"/>
            </w:pPr>
            <w:r>
              <w:rPr>
                <w:rFonts w:ascii="Calibri" w:cs="Calibri" w:eastAsia="Calibri" w:hAnsi="Calibri"/>
                <w:b/>
                <w:bCs/>
                <w:color w:val="FFFFFF"/>
                <w:sz w:val="19"/>
                <w:szCs w:val="19"/>
              </w:rPr>
              <w:t xml:space="preserve">Share</w:t>
            </w:r>
          </w:p>
        </w:tc>
        <w:tc>
          <w:tcPr>
            <w:tcW w:type="dxa" w:w="4026"/>
            <w:tcBorders>
              <w:top w:val="single" w:color="8E2B2B" w:sz="4"/>
              <w:left w:val="single" w:color="8E2B2B" w:sz="4"/>
              <w:bottom w:val="single" w:color="8E2B2B" w:sz="4"/>
              <w:right w:val="single" w:color="8E2B2B" w:sz="4"/>
            </w:tcBorders>
            <w:shd w:fill="8E2B2B" w:color="auto" w:val="clear"/>
            <w:tcMar>
              <w:top w:type="dxa" w:w="70"/>
              <w:left w:type="dxa" w:w="110"/>
              <w:bottom w:type="dxa" w:w="70"/>
              <w:right w:type="dxa" w:w="110"/>
            </w:tcMar>
            <w:vAlign w:val="top"/>
          </w:tcPr>
          <w:p>
            <w:pPr>
              <w:spacing w:after="40" w:line="260" w:lineRule="auto"/>
            </w:pPr>
            <w:r>
              <w:rPr>
                <w:rFonts w:ascii="Calibri" w:cs="Calibri" w:eastAsia="Calibri" w:hAnsi="Calibri"/>
                <w:b/>
                <w:bCs/>
                <w:color w:val="FFFFFF"/>
                <w:sz w:val="19"/>
                <w:szCs w:val="19"/>
              </w:rPr>
              <w:t xml:space="preserve">Note</w:t>
            </w:r>
          </w:p>
        </w:tc>
      </w:tr>
      <w:tr>
        <w:trPr>
          <w:cantSplit/>
        </w:trPr>
        <w:tc>
          <w:tcPr>
            <w:tcW w:type="dxa" w:w="3000"/>
            <w:tcBorders>
              <w:top w:val="single" w:color="BFBFBF" w:sz="4"/>
              <w:left w:val="single" w:color="BFBFBF" w:sz="4"/>
              <w:bottom w:val="single" w:color="BFBFBF" w:sz="4"/>
              <w:right w:val="single" w:color="BFBFBF" w:sz="4"/>
            </w:tcBorders>
            <w:shd w:fill="F8EDED" w:color="auto" w:val="clear"/>
            <w:tcMar>
              <w:top w:type="dxa" w:w="70"/>
              <w:left w:type="dxa" w:w="110"/>
              <w:bottom w:type="dxa" w:w="70"/>
              <w:right w:type="dxa" w:w="110"/>
            </w:tcMar>
            <w:vAlign w:val="top"/>
          </w:tcPr>
          <w:p>
            <w:pPr>
              <w:spacing w:after="40" w:line="260" w:lineRule="auto"/>
            </w:pPr>
            <w:r>
              <w:rPr>
                <w:rFonts w:ascii="Calibri" w:cs="Calibri" w:eastAsia="Calibri" w:hAnsi="Calibri"/>
                <w:b/>
                <w:bCs/>
                <w:sz w:val="19"/>
                <w:szCs w:val="19"/>
              </w:rPr>
              <w:t xml:space="preserve">Time-series</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0" w:lineRule="auto"/>
            </w:pPr>
            <w:r>
              <w:rPr>
                <w:rFonts w:ascii="Calibri" w:cs="Calibri" w:eastAsia="Calibri" w:hAnsi="Calibri"/>
                <w:b w:val="false"/>
                <w:bCs w:val="false"/>
                <w:sz w:val="19"/>
                <w:szCs w:val="19"/>
              </w:rPr>
              <w:t xml:space="preserve">41%</w:t>
            </w:r>
          </w:p>
        </w:tc>
        <w:tc>
          <w:tcPr>
            <w:tcW w:type="dxa" w:w="40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0" w:lineRule="auto"/>
            </w:pPr>
            <w:r>
              <w:rPr>
                <w:rFonts w:ascii="Calibri" w:cs="Calibri" w:eastAsia="Calibri" w:hAnsi="Calibri"/>
                <w:b w:val="false"/>
                <w:bCs w:val="false"/>
                <w:sz w:val="19"/>
                <w:szCs w:val="19"/>
              </w:rPr>
              <w:t xml:space="preserve">Illustrative value only</w:t>
            </w:r>
          </w:p>
        </w:tc>
      </w:tr>
      <w:tr>
        <w:trPr>
          <w:cantSplit/>
        </w:trPr>
        <w:tc>
          <w:tcPr>
            <w:tcW w:type="dxa" w:w="3000"/>
            <w:tcBorders>
              <w:top w:val="single" w:color="BFBFBF" w:sz="4"/>
              <w:left w:val="single" w:color="BFBFBF" w:sz="4"/>
              <w:bottom w:val="single" w:color="BFBFBF" w:sz="4"/>
              <w:right w:val="single" w:color="BFBFBF" w:sz="4"/>
            </w:tcBorders>
            <w:shd w:fill="F8EDED" w:color="auto" w:val="clear"/>
            <w:tcMar>
              <w:top w:type="dxa" w:w="70"/>
              <w:left w:type="dxa" w:w="110"/>
              <w:bottom w:type="dxa" w:w="70"/>
              <w:right w:type="dxa" w:w="110"/>
            </w:tcMar>
            <w:vAlign w:val="top"/>
          </w:tcPr>
          <w:p>
            <w:pPr>
              <w:spacing w:after="40" w:line="260" w:lineRule="auto"/>
            </w:pPr>
            <w:r>
              <w:rPr>
                <w:rFonts w:ascii="Calibri" w:cs="Calibri" w:eastAsia="Calibri" w:hAnsi="Calibri"/>
                <w:b/>
                <w:bCs/>
                <w:sz w:val="19"/>
                <w:szCs w:val="19"/>
              </w:rPr>
              <w:t xml:space="preserve">News</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0" w:lineRule="auto"/>
            </w:pPr>
            <w:r>
              <w:rPr>
                <w:rFonts w:ascii="Calibri" w:cs="Calibri" w:eastAsia="Calibri" w:hAnsi="Calibri"/>
                <w:b w:val="false"/>
                <w:bCs w:val="false"/>
                <w:sz w:val="19"/>
                <w:szCs w:val="19"/>
              </w:rPr>
              <w:t xml:space="preserve">27%</w:t>
            </w:r>
          </w:p>
        </w:tc>
        <w:tc>
          <w:tcPr>
            <w:tcW w:type="dxa" w:w="40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0" w:lineRule="auto"/>
            </w:pPr>
            <w:r>
              <w:rPr>
                <w:rFonts w:ascii="Calibri" w:cs="Calibri" w:eastAsia="Calibri" w:hAnsi="Calibri"/>
                <w:b w:val="false"/>
                <w:bCs w:val="false"/>
                <w:sz w:val="19"/>
                <w:szCs w:val="19"/>
              </w:rPr>
              <w:t xml:space="preserve">Illustrative value only</w:t>
            </w:r>
          </w:p>
        </w:tc>
      </w:tr>
      <w:tr>
        <w:trPr>
          <w:cantSplit/>
        </w:trPr>
        <w:tc>
          <w:tcPr>
            <w:tcW w:type="dxa" w:w="3000"/>
            <w:tcBorders>
              <w:top w:val="single" w:color="BFBFBF" w:sz="4"/>
              <w:left w:val="single" w:color="BFBFBF" w:sz="4"/>
              <w:bottom w:val="single" w:color="BFBFBF" w:sz="4"/>
              <w:right w:val="single" w:color="BFBFBF" w:sz="4"/>
            </w:tcBorders>
            <w:shd w:fill="F8EDED" w:color="auto" w:val="clear"/>
            <w:tcMar>
              <w:top w:type="dxa" w:w="70"/>
              <w:left w:type="dxa" w:w="110"/>
              <w:bottom w:type="dxa" w:w="70"/>
              <w:right w:type="dxa" w:w="110"/>
            </w:tcMar>
            <w:vAlign w:val="top"/>
          </w:tcPr>
          <w:p>
            <w:pPr>
              <w:spacing w:after="40" w:line="260" w:lineRule="auto"/>
            </w:pPr>
            <w:r>
              <w:rPr>
                <w:rFonts w:ascii="Calibri" w:cs="Calibri" w:eastAsia="Calibri" w:hAnsi="Calibri"/>
                <w:b/>
                <w:bCs/>
                <w:sz w:val="19"/>
                <w:szCs w:val="19"/>
              </w:rPr>
              <w:t xml:space="preserve">External events</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0" w:lineRule="auto"/>
            </w:pPr>
            <w:r>
              <w:rPr>
                <w:rFonts w:ascii="Calibri" w:cs="Calibri" w:eastAsia="Calibri" w:hAnsi="Calibri"/>
                <w:b w:val="false"/>
                <w:bCs w:val="false"/>
                <w:sz w:val="19"/>
                <w:szCs w:val="19"/>
              </w:rPr>
              <w:t xml:space="preserve">32%</w:t>
            </w:r>
          </w:p>
        </w:tc>
        <w:tc>
          <w:tcPr>
            <w:tcW w:type="dxa" w:w="40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0" w:lineRule="auto"/>
            </w:pPr>
            <w:r>
              <w:rPr>
                <w:rFonts w:ascii="Calibri" w:cs="Calibri" w:eastAsia="Calibri" w:hAnsi="Calibri"/>
                <w:b w:val="false"/>
                <w:bCs w:val="false"/>
                <w:sz w:val="19"/>
                <w:szCs w:val="19"/>
              </w:rPr>
              <w:t xml:space="preserve">Illustrative value only</w:t>
            </w:r>
          </w:p>
        </w:tc>
      </w:tr>
    </w:tbl>
    <w:p>
      <w:pPr>
        <w:spacing w:after="120" w:before="60" w:line="288" w:lineRule="auto"/>
      </w:pPr>
      <w:r>
        <w:rPr>
          <w:rFonts w:ascii="Calibri" w:cs="Calibri" w:eastAsia="Calibri" w:hAnsi="Calibri"/>
          <w:i/>
          <w:iCs/>
          <w:sz w:val="19"/>
          <w:szCs w:val="19"/>
        </w:rPr>
        <w:t xml:space="preserve">These percentages are illustrative examples, not fixed or expected results.</w:t>
      </w:r>
    </w:p>
    <w:p>
      <w:pPr>
        <w:pStyle w:val="Heading2"/>
        <w:keepNext/>
        <w:spacing w:after="100" w:before="240"/>
      </w:pPr>
      <w:r>
        <w:rPr>
          <w:rFonts w:ascii="Calibri" w:cs="Calibri" w:eastAsia="Calibri" w:hAnsi="Calibri"/>
          <w:b/>
          <w:bCs/>
          <w:color w:val="8E2B2B"/>
          <w:sz w:val="25"/>
          <w:szCs w:val="25"/>
        </w:rPr>
        <w:t xml:space="preserve">E. Evidence grounding</w:t>
      </w:r>
    </w:p>
    <w:p>
      <w:pPr>
        <w:spacing w:after="120" w:before="0" w:line="288" w:lineRule="auto"/>
      </w:pPr>
      <w:r>
        <w:rPr>
          <w:rFonts w:ascii="Calibri" w:cs="Calibri" w:eastAsia="Calibri" w:hAnsi="Calibri"/>
          <w:sz w:val="21"/>
          <w:szCs w:val="21"/>
        </w:rPr>
        <w:t xml:space="preserve">Each explanation is connected to actual evidence from three sources: </w:t>
      </w:r>
      <w:r>
        <w:rPr>
          <w:rFonts w:ascii="Calibri" w:cs="Calibri" w:eastAsia="Calibri" w:hAnsi="Calibri"/>
          <w:b/>
          <w:bCs/>
          <w:sz w:val="21"/>
          <w:szCs w:val="21"/>
        </w:rPr>
        <w:t xml:space="preserve">structured evidence</w:t>
      </w:r>
      <w:r>
        <w:rPr>
          <w:rFonts w:ascii="Calibri" w:cs="Calibri" w:eastAsia="Calibri" w:hAnsi="Calibri"/>
          <w:sz w:val="21"/>
          <w:szCs w:val="21"/>
        </w:rPr>
        <w:t xml:space="preserve"> (specific series and time windows), </w:t>
      </w:r>
      <w:r>
        <w:rPr>
          <w:rFonts w:ascii="Calibri" w:cs="Calibri" w:eastAsia="Calibri" w:hAnsi="Calibri"/>
          <w:b/>
          <w:bCs/>
          <w:sz w:val="21"/>
          <w:szCs w:val="21"/>
        </w:rPr>
        <w:t xml:space="preserve">news evidence</w:t>
      </w:r>
      <w:r>
        <w:rPr>
          <w:rFonts w:ascii="Calibri" w:cs="Calibri" w:eastAsia="Calibri" w:hAnsi="Calibri"/>
          <w:sz w:val="21"/>
          <w:szCs w:val="21"/>
        </w:rPr>
        <w:t xml:space="preserve"> (specific articles or extracted events) and </w:t>
      </w:r>
      <w:r>
        <w:rPr>
          <w:rFonts w:ascii="Calibri" w:cs="Calibri" w:eastAsia="Calibri" w:hAnsi="Calibri"/>
          <w:b/>
          <w:bCs/>
          <w:sz w:val="21"/>
          <w:szCs w:val="21"/>
        </w:rPr>
        <w:t xml:space="preserve">external-event evidence</w:t>
      </w:r>
      <w:r>
        <w:rPr>
          <w:rFonts w:ascii="Calibri" w:cs="Calibri" w:eastAsia="Calibri" w:hAnsi="Calibri"/>
          <w:sz w:val="21"/>
          <w:szCs w:val="21"/>
        </w:rPr>
        <w:t xml:space="preserve"> (specific event records). Evidence retrieval links attributed features, passages and events back to their source records using the provenance metadata defined in Section 1.3.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8E2B2B" w:sz="4"/>
              <w:left w:val="single" w:color="8E2B2B" w:sz="4"/>
              <w:bottom w:val="single" w:color="8E2B2B" w:sz="4"/>
              <w:right w:val="single" w:color="8E2B2B" w:sz="4"/>
            </w:tcBorders>
            <w:shd w:fill="8E2B2B" w:color="auto" w:val="clear"/>
            <w:tcMar>
              <w:top w:type="dxa" w:w="70"/>
              <w:left w:type="dxa" w:w="110"/>
              <w:bottom w:type="dxa" w:w="70"/>
              <w:right w:type="dxa" w:w="110"/>
            </w:tcMar>
            <w:vAlign w:val="top"/>
          </w:tcPr>
          <w:p>
            <w:pPr>
              <w:spacing w:after="40" w:line="260" w:lineRule="auto"/>
            </w:pPr>
            <w:r>
              <w:rPr>
                <w:rFonts w:ascii="Calibri" w:cs="Calibri" w:eastAsia="Calibri" w:hAnsi="Calibri"/>
                <w:b/>
                <w:bCs/>
                <w:color w:val="FFFFFF"/>
                <w:sz w:val="19"/>
                <w:szCs w:val="19"/>
              </w:rPr>
              <w:t xml:space="preserve">Evidence record field</w:t>
            </w:r>
          </w:p>
        </w:tc>
        <w:tc>
          <w:tcPr>
            <w:tcW w:type="dxa" w:w="6426"/>
            <w:tcBorders>
              <w:top w:val="single" w:color="8E2B2B" w:sz="4"/>
              <w:left w:val="single" w:color="8E2B2B" w:sz="4"/>
              <w:bottom w:val="single" w:color="8E2B2B" w:sz="4"/>
              <w:right w:val="single" w:color="8E2B2B" w:sz="4"/>
            </w:tcBorders>
            <w:shd w:fill="8E2B2B" w:color="auto" w:val="clear"/>
            <w:tcMar>
              <w:top w:type="dxa" w:w="70"/>
              <w:left w:type="dxa" w:w="110"/>
              <w:bottom w:type="dxa" w:w="70"/>
              <w:right w:type="dxa" w:w="110"/>
            </w:tcMar>
            <w:vAlign w:val="top"/>
          </w:tcPr>
          <w:p>
            <w:pPr>
              <w:spacing w:after="40" w:line="260" w:lineRule="auto"/>
            </w:pPr>
            <w:r>
              <w:rPr>
                <w:rFonts w:ascii="Calibri" w:cs="Calibri" w:eastAsia="Calibri" w:hAnsi="Calibri"/>
                <w:b/>
                <w:bCs/>
                <w:color w:val="FFFFFF"/>
                <w:sz w:val="19"/>
                <w:szCs w:val="19"/>
              </w:rPr>
              <w:t xml:space="preserve">Content</w:t>
            </w:r>
          </w:p>
        </w:tc>
      </w:tr>
      <w:tr>
        <w:trPr>
          <w:cantSplit/>
        </w:trPr>
        <w:tc>
          <w:tcPr>
            <w:tcW w:type="dxa" w:w="2600"/>
            <w:tcBorders>
              <w:top w:val="single" w:color="BFBFBF" w:sz="4"/>
              <w:left w:val="single" w:color="BFBFBF" w:sz="4"/>
              <w:bottom w:val="single" w:color="BFBFBF" w:sz="4"/>
              <w:right w:val="single" w:color="BFBFBF" w:sz="4"/>
            </w:tcBorders>
            <w:shd w:fill="F8EDED" w:color="auto" w:val="clear"/>
            <w:tcMar>
              <w:top w:type="dxa" w:w="70"/>
              <w:left w:type="dxa" w:w="110"/>
              <w:bottom w:type="dxa" w:w="70"/>
              <w:right w:type="dxa" w:w="110"/>
            </w:tcMar>
            <w:vAlign w:val="top"/>
          </w:tcPr>
          <w:p>
            <w:pPr>
              <w:spacing w:after="40" w:line="260" w:lineRule="auto"/>
            </w:pPr>
            <w:r>
              <w:rPr>
                <w:rFonts w:ascii="Calibri" w:cs="Calibri" w:eastAsia="Calibri" w:hAnsi="Calibri"/>
                <w:b/>
                <w:bCs/>
                <w:sz w:val="19"/>
                <w:szCs w:val="19"/>
              </w:rPr>
              <w:t xml:space="preserve">evidence_id, modality</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0" w:lineRule="auto"/>
            </w:pPr>
            <w:r>
              <w:rPr>
                <w:rFonts w:ascii="Calibri" w:cs="Calibri" w:eastAsia="Calibri" w:hAnsi="Calibri"/>
                <w:b w:val="false"/>
                <w:bCs w:val="false"/>
                <w:sz w:val="19"/>
                <w:szCs w:val="19"/>
              </w:rPr>
              <w:t xml:space="preserve">Unique identifier and which modality it comes from.</w:t>
            </w:r>
          </w:p>
        </w:tc>
      </w:tr>
      <w:tr>
        <w:trPr>
          <w:cantSplit/>
        </w:trPr>
        <w:tc>
          <w:tcPr>
            <w:tcW w:type="dxa" w:w="2600"/>
            <w:tcBorders>
              <w:top w:val="single" w:color="BFBFBF" w:sz="4"/>
              <w:left w:val="single" w:color="BFBFBF" w:sz="4"/>
              <w:bottom w:val="single" w:color="BFBFBF" w:sz="4"/>
              <w:right w:val="single" w:color="BFBFBF" w:sz="4"/>
            </w:tcBorders>
            <w:shd w:fill="F8EDED" w:color="auto" w:val="clear"/>
            <w:tcMar>
              <w:top w:type="dxa" w:w="70"/>
              <w:left w:type="dxa" w:w="110"/>
              <w:bottom w:type="dxa" w:w="70"/>
              <w:right w:type="dxa" w:w="110"/>
            </w:tcMar>
            <w:vAlign w:val="top"/>
          </w:tcPr>
          <w:p>
            <w:pPr>
              <w:spacing w:after="40" w:line="260" w:lineRule="auto"/>
            </w:pPr>
            <w:r>
              <w:rPr>
                <w:rFonts w:ascii="Calibri" w:cs="Calibri" w:eastAsia="Calibri" w:hAnsi="Calibri"/>
                <w:b/>
                <w:bCs/>
                <w:sz w:val="19"/>
                <w:szCs w:val="19"/>
              </w:rPr>
              <w:t xml:space="preserve">source_ref</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0" w:lineRule="auto"/>
            </w:pPr>
            <w:r>
              <w:rPr>
                <w:rFonts w:ascii="Calibri" w:cs="Calibri" w:eastAsia="Calibri" w:hAnsi="Calibri"/>
                <w:b w:val="false"/>
                <w:bCs w:val="false"/>
                <w:sz w:val="19"/>
                <w:szCs w:val="19"/>
              </w:rPr>
              <w:t xml:space="preserve">Pointer to the original record, article or event.</w:t>
            </w:r>
          </w:p>
        </w:tc>
      </w:tr>
      <w:tr>
        <w:trPr>
          <w:cantSplit/>
        </w:trPr>
        <w:tc>
          <w:tcPr>
            <w:tcW w:type="dxa" w:w="2600"/>
            <w:tcBorders>
              <w:top w:val="single" w:color="BFBFBF" w:sz="4"/>
              <w:left w:val="single" w:color="BFBFBF" w:sz="4"/>
              <w:bottom w:val="single" w:color="BFBFBF" w:sz="4"/>
              <w:right w:val="single" w:color="BFBFBF" w:sz="4"/>
            </w:tcBorders>
            <w:shd w:fill="F8EDED" w:color="auto" w:val="clear"/>
            <w:tcMar>
              <w:top w:type="dxa" w:w="70"/>
              <w:left w:type="dxa" w:w="110"/>
              <w:bottom w:type="dxa" w:w="70"/>
              <w:right w:type="dxa" w:w="110"/>
            </w:tcMar>
            <w:vAlign w:val="top"/>
          </w:tcPr>
          <w:p>
            <w:pPr>
              <w:spacing w:after="40" w:line="260" w:lineRule="auto"/>
            </w:pPr>
            <w:r>
              <w:rPr>
                <w:rFonts w:ascii="Calibri" w:cs="Calibri" w:eastAsia="Calibri" w:hAnsi="Calibri"/>
                <w:b/>
                <w:bCs/>
                <w:sz w:val="19"/>
                <w:szCs w:val="19"/>
              </w:rPr>
              <w:t xml:space="preserve">timestamp, entity</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0" w:lineRule="auto"/>
            </w:pPr>
            <w:r>
              <w:rPr>
                <w:rFonts w:ascii="Calibri" w:cs="Calibri" w:eastAsia="Calibri" w:hAnsi="Calibri"/>
                <w:b w:val="false"/>
                <w:bCs w:val="false"/>
                <w:sz w:val="19"/>
                <w:szCs w:val="19"/>
              </w:rPr>
              <w:t xml:space="preserve">When the evidence applies and which supply-chain node it concerns.</w:t>
            </w:r>
          </w:p>
        </w:tc>
      </w:tr>
      <w:tr>
        <w:trPr>
          <w:cantSplit/>
        </w:trPr>
        <w:tc>
          <w:tcPr>
            <w:tcW w:type="dxa" w:w="2600"/>
            <w:tcBorders>
              <w:top w:val="single" w:color="BFBFBF" w:sz="4"/>
              <w:left w:val="single" w:color="BFBFBF" w:sz="4"/>
              <w:bottom w:val="single" w:color="BFBFBF" w:sz="4"/>
              <w:right w:val="single" w:color="BFBFBF" w:sz="4"/>
            </w:tcBorders>
            <w:shd w:fill="F8EDED" w:color="auto" w:val="clear"/>
            <w:tcMar>
              <w:top w:type="dxa" w:w="70"/>
              <w:left w:type="dxa" w:w="110"/>
              <w:bottom w:type="dxa" w:w="70"/>
              <w:right w:type="dxa" w:w="110"/>
            </w:tcMar>
            <w:vAlign w:val="top"/>
          </w:tcPr>
          <w:p>
            <w:pPr>
              <w:spacing w:after="40" w:line="260" w:lineRule="auto"/>
            </w:pPr>
            <w:r>
              <w:rPr>
                <w:rFonts w:ascii="Calibri" w:cs="Calibri" w:eastAsia="Calibri" w:hAnsi="Calibri"/>
                <w:b/>
                <w:bCs/>
                <w:sz w:val="19"/>
                <w:szCs w:val="19"/>
              </w:rPr>
              <w:t xml:space="preserve">attribution_score</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0" w:lineRule="auto"/>
            </w:pPr>
            <w:r>
              <w:rPr>
                <w:rFonts w:ascii="Calibri" w:cs="Calibri" w:eastAsia="Calibri" w:hAnsi="Calibri"/>
                <w:b w:val="false"/>
                <w:bCs w:val="false"/>
                <w:sz w:val="19"/>
                <w:szCs w:val="19"/>
              </w:rPr>
              <w:t xml:space="preserve">Contribution of this evidence to the prediction, from components A–C.</w:t>
            </w:r>
          </w:p>
        </w:tc>
      </w:tr>
      <w:tr>
        <w:trPr>
          <w:cantSplit/>
        </w:trPr>
        <w:tc>
          <w:tcPr>
            <w:tcW w:type="dxa" w:w="2600"/>
            <w:tcBorders>
              <w:top w:val="single" w:color="BFBFBF" w:sz="4"/>
              <w:left w:val="single" w:color="BFBFBF" w:sz="4"/>
              <w:bottom w:val="single" w:color="BFBFBF" w:sz="4"/>
              <w:right w:val="single" w:color="BFBFBF" w:sz="4"/>
            </w:tcBorders>
            <w:shd w:fill="F8EDED" w:color="auto" w:val="clear"/>
            <w:tcMar>
              <w:top w:type="dxa" w:w="70"/>
              <w:left w:type="dxa" w:w="110"/>
              <w:bottom w:type="dxa" w:w="70"/>
              <w:right w:type="dxa" w:w="110"/>
            </w:tcMar>
            <w:vAlign w:val="top"/>
          </w:tcPr>
          <w:p>
            <w:pPr>
              <w:spacing w:after="40" w:line="260" w:lineRule="auto"/>
            </w:pPr>
            <w:r>
              <w:rPr>
                <w:rFonts w:ascii="Calibri" w:cs="Calibri" w:eastAsia="Calibri" w:hAnsi="Calibri"/>
                <w:b/>
                <w:bCs/>
                <w:sz w:val="19"/>
                <w:szCs w:val="19"/>
              </w:rPr>
              <w:t xml:space="preserve">summary</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0" w:lineRule="auto"/>
            </w:pPr>
            <w:r>
              <w:rPr>
                <w:rFonts w:ascii="Calibri" w:cs="Calibri" w:eastAsia="Calibri" w:hAnsi="Calibri"/>
                <w:b w:val="false"/>
                <w:bCs w:val="false"/>
                <w:sz w:val="19"/>
                <w:szCs w:val="19"/>
              </w:rPr>
              <w:t xml:space="preserve">Short human-readable description.</w:t>
            </w:r>
          </w:p>
        </w:tc>
      </w:tr>
    </w:tbl>
    <w:p>
      <w:pPr>
        <w:pStyle w:val="Heading3"/>
        <w:keepNext/>
        <w:spacing w:after="80" w:before="180"/>
      </w:pPr>
      <w:r>
        <w:rPr>
          <w:rFonts w:ascii="Calibri" w:cs="Calibri" w:eastAsia="Calibri" w:hAnsi="Calibri"/>
          <w:b/>
          <w:bCs/>
          <w:color w:val="8E2B2B"/>
          <w:sz w:val="22"/>
          <w:szCs w:val="22"/>
        </w:rPr>
        <w:t xml:space="preserve">Evidence consistency verification (component F)</w:t>
      </w:r>
    </w:p>
    <w:p>
      <w:pPr>
        <w:spacing w:after="120" w:before="0" w:line="288" w:lineRule="auto"/>
      </w:pPr>
      <w:r>
        <w:rPr>
          <w:rFonts w:ascii="Calibri" w:cs="Calibri" w:eastAsia="Calibri" w:hAnsi="Calibri"/>
          <w:sz w:val="21"/>
          <w:szCs w:val="21"/>
        </w:rPr>
        <w:t xml:space="preserve">Retrieved evidence is checked against the prediction before it is shown. Proposed checks, to be validated experimentally:</w:t>
      </w:r>
    </w:p>
    <w:p>
      <w:pPr>
        <w:pStyle w:val="ListParagraph"/>
        <w:numPr>
          <w:ilvl w:val="0"/>
          <w:numId w:val="2"/>
        </w:numPr>
        <w:spacing w:after="60" w:line="276" w:lineRule="auto"/>
      </w:pPr>
      <w:r>
        <w:rPr>
          <w:rFonts w:ascii="Calibri" w:cs="Calibri" w:eastAsia="Calibri" w:hAnsi="Calibri"/>
          <w:b/>
          <w:bCs/>
          <w:sz w:val="21"/>
          <w:szCs w:val="21"/>
        </w:rPr>
        <w:t xml:space="preserve">Temporal validity:</w:t>
      </w:r>
      <w:r>
        <w:rPr>
          <w:rFonts w:ascii="Calibri" w:cs="Calibri" w:eastAsia="Calibri" w:hAnsi="Calibri"/>
          <w:sz w:val="21"/>
          <w:szCs w:val="21"/>
        </w:rPr>
        <w:t xml:space="preserve"> evidence precedes the prediction time and falls inside the relevant window.</w:t>
      </w:r>
    </w:p>
    <w:p>
      <w:pPr>
        <w:pStyle w:val="ListParagraph"/>
        <w:numPr>
          <w:ilvl w:val="0"/>
          <w:numId w:val="2"/>
        </w:numPr>
        <w:spacing w:after="60" w:line="276" w:lineRule="auto"/>
      </w:pPr>
      <w:r>
        <w:rPr>
          <w:rFonts w:ascii="Calibri" w:cs="Calibri" w:eastAsia="Calibri" w:hAnsi="Calibri"/>
          <w:b/>
          <w:bCs/>
          <w:sz w:val="21"/>
          <w:szCs w:val="21"/>
        </w:rPr>
        <w:t xml:space="preserve">Entity match:</w:t>
      </w:r>
      <w:r>
        <w:rPr>
          <w:rFonts w:ascii="Calibri" w:cs="Calibri" w:eastAsia="Calibri" w:hAnsi="Calibri"/>
          <w:sz w:val="21"/>
          <w:szCs w:val="21"/>
        </w:rPr>
        <w:t xml:space="preserve"> evidence concerns the supply-chain node or route that the warning is about.</w:t>
      </w:r>
    </w:p>
    <w:p>
      <w:pPr>
        <w:pStyle w:val="ListParagraph"/>
        <w:numPr>
          <w:ilvl w:val="0"/>
          <w:numId w:val="2"/>
        </w:numPr>
        <w:spacing w:after="60" w:line="276" w:lineRule="auto"/>
      </w:pPr>
      <w:r>
        <w:rPr>
          <w:rFonts w:ascii="Calibri" w:cs="Calibri" w:eastAsia="Calibri" w:hAnsi="Calibri"/>
          <w:b/>
          <w:bCs/>
          <w:sz w:val="21"/>
          <w:szCs w:val="21"/>
        </w:rPr>
        <w:t xml:space="preserve">Direction agreement:</w:t>
      </w:r>
      <w:r>
        <w:rPr>
          <w:rFonts w:ascii="Calibri" w:cs="Calibri" w:eastAsia="Calibri" w:hAnsi="Calibri"/>
          <w:sz w:val="21"/>
          <w:szCs w:val="21"/>
        </w:rPr>
        <w:t xml:space="preserve"> evidence supports increased risk, not reduced risk.</w:t>
      </w:r>
    </w:p>
    <w:p>
      <w:pPr>
        <w:pStyle w:val="ListParagraph"/>
        <w:numPr>
          <w:ilvl w:val="0"/>
          <w:numId w:val="2"/>
        </w:numPr>
        <w:spacing w:after="60" w:line="276" w:lineRule="auto"/>
      </w:pPr>
      <w:r>
        <w:rPr>
          <w:rFonts w:ascii="Calibri" w:cs="Calibri" w:eastAsia="Calibri" w:hAnsi="Calibri"/>
          <w:b/>
          <w:bCs/>
          <w:sz w:val="21"/>
          <w:szCs w:val="21"/>
        </w:rPr>
        <w:t xml:space="preserve">Counterfactual support:</w:t>
      </w:r>
      <w:r>
        <w:rPr>
          <w:rFonts w:ascii="Calibri" w:cs="Calibri" w:eastAsia="Calibri" w:hAnsi="Calibri"/>
          <w:sz w:val="21"/>
          <w:szCs w:val="21"/>
        </w:rPr>
        <w:t xml:space="preserve"> removing or masking the evidence changes the prediction or attribution as the explanation implies.</w:t>
      </w:r>
    </w:p>
    <w:p>
      <w:pPr>
        <w:spacing w:after="120" w:before="60" w:line="288" w:lineRule="auto"/>
      </w:pPr>
      <w:r>
        <w:rPr>
          <w:rFonts w:ascii="Calibri" w:cs="Calibri" w:eastAsia="Calibri" w:hAnsi="Calibri"/>
          <w:sz w:val="21"/>
          <w:szCs w:val="21"/>
        </w:rPr>
        <w:t xml:space="preserve">The result is an evidence consistency score and a flag for evidence that fails a check.</w:t>
      </w:r>
    </w:p>
    <w:p>
      <w:pPr>
        <w:pStyle w:val="Heading2"/>
        <w:keepNext/>
        <w:spacing w:after="100" w:before="240"/>
      </w:pPr>
      <w:r>
        <w:rPr>
          <w:rFonts w:ascii="Calibri" w:cs="Calibri" w:eastAsia="Calibri" w:hAnsi="Calibri"/>
          <w:b/>
          <w:bCs/>
          <w:color w:val="8E2B2B"/>
          <w:sz w:val="25"/>
          <w:szCs w:val="25"/>
        </w:rPr>
        <w:t xml:space="preserve">G. Uncertainty estimation</w:t>
      </w:r>
    </w:p>
    <w:p>
      <w:pPr>
        <w:spacing w:after="120" w:before="0" w:line="288" w:lineRule="auto"/>
      </w:pPr>
      <w:r>
        <w:rPr>
          <w:rFonts w:ascii="Calibri" w:cs="Calibri" w:eastAsia="Calibri" w:hAnsi="Calibri"/>
          <w:sz w:val="21"/>
          <w:szCs w:val="21"/>
        </w:rPr>
        <w:t xml:space="preserve">Several approaches will be implemented and compared. </w:t>
      </w:r>
      <w:r>
        <w:rPr>
          <w:rFonts w:ascii="Calibri" w:cs="Calibri" w:eastAsia="Calibri" w:hAnsi="Calibri"/>
          <w:b/>
          <w:bCs/>
          <w:sz w:val="21"/>
          <w:szCs w:val="21"/>
        </w:rPr>
        <w:t xml:space="preserve">None is assumed to be the best</w:t>
      </w:r>
      <w:r>
        <w:rPr>
          <w:rFonts w:ascii="Calibri" w:cs="Calibri" w:eastAsia="Calibri" w:hAnsi="Calibri"/>
          <w:sz w:val="21"/>
          <w:szCs w:val="21"/>
        </w:rPr>
        <w:t xml:space="preserve">; their suitability for temporal, multimodal data is an experimental question.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300"/>
        <w:gridCol w:w="3726"/>
      </w:tblGrid>
      <w:tr>
        <w:trPr>
          <w:cantSplit/>
          <w:tblHeader/>
        </w:trPr>
        <w:tc>
          <w:tcPr>
            <w:tcW w:type="dxa" w:w="2000"/>
            <w:tcBorders>
              <w:top w:val="single" w:color="8E2B2B" w:sz="4"/>
              <w:left w:val="single" w:color="8E2B2B" w:sz="4"/>
              <w:bottom w:val="single" w:color="8E2B2B" w:sz="4"/>
              <w:right w:val="single" w:color="8E2B2B" w:sz="4"/>
            </w:tcBorders>
            <w:shd w:fill="8E2B2B" w:color="auto" w:val="clear"/>
            <w:tcMar>
              <w:top w:type="dxa" w:w="70"/>
              <w:left w:type="dxa" w:w="110"/>
              <w:bottom w:type="dxa" w:w="70"/>
              <w:right w:type="dxa" w:w="110"/>
            </w:tcMar>
            <w:vAlign w:val="top"/>
          </w:tcPr>
          <w:p>
            <w:pPr>
              <w:spacing w:after="40" w:line="260" w:lineRule="auto"/>
            </w:pPr>
            <w:r>
              <w:rPr>
                <w:rFonts w:ascii="Calibri" w:cs="Calibri" w:eastAsia="Calibri" w:hAnsi="Calibri"/>
                <w:b/>
                <w:bCs/>
                <w:color w:val="FFFFFF"/>
                <w:sz w:val="19"/>
                <w:szCs w:val="19"/>
              </w:rPr>
              <w:t xml:space="preserve">Method</w:t>
            </w:r>
          </w:p>
        </w:tc>
        <w:tc>
          <w:tcPr>
            <w:tcW w:type="dxa" w:w="3300"/>
            <w:tcBorders>
              <w:top w:val="single" w:color="8E2B2B" w:sz="4"/>
              <w:left w:val="single" w:color="8E2B2B" w:sz="4"/>
              <w:bottom w:val="single" w:color="8E2B2B" w:sz="4"/>
              <w:right w:val="single" w:color="8E2B2B" w:sz="4"/>
            </w:tcBorders>
            <w:shd w:fill="8E2B2B" w:color="auto" w:val="clear"/>
            <w:tcMar>
              <w:top w:type="dxa" w:w="70"/>
              <w:left w:type="dxa" w:w="110"/>
              <w:bottom w:type="dxa" w:w="70"/>
              <w:right w:type="dxa" w:w="110"/>
            </w:tcMar>
            <w:vAlign w:val="top"/>
          </w:tcPr>
          <w:p>
            <w:pPr>
              <w:spacing w:after="40" w:line="260" w:lineRule="auto"/>
            </w:pPr>
            <w:r>
              <w:rPr>
                <w:rFonts w:ascii="Calibri" w:cs="Calibri" w:eastAsia="Calibri" w:hAnsi="Calibri"/>
                <w:b/>
                <w:bCs/>
                <w:color w:val="FFFFFF"/>
                <w:sz w:val="19"/>
                <w:szCs w:val="19"/>
              </w:rPr>
              <w:t xml:space="preserve">Idea</w:t>
            </w:r>
          </w:p>
        </w:tc>
        <w:tc>
          <w:tcPr>
            <w:tcW w:type="dxa" w:w="3726"/>
            <w:tcBorders>
              <w:top w:val="single" w:color="8E2B2B" w:sz="4"/>
              <w:left w:val="single" w:color="8E2B2B" w:sz="4"/>
              <w:bottom w:val="single" w:color="8E2B2B" w:sz="4"/>
              <w:right w:val="single" w:color="8E2B2B" w:sz="4"/>
            </w:tcBorders>
            <w:shd w:fill="8E2B2B" w:color="auto" w:val="clear"/>
            <w:tcMar>
              <w:top w:type="dxa" w:w="70"/>
              <w:left w:type="dxa" w:w="110"/>
              <w:bottom w:type="dxa" w:w="70"/>
              <w:right w:type="dxa" w:w="110"/>
            </w:tcMar>
            <w:vAlign w:val="top"/>
          </w:tcPr>
          <w:p>
            <w:pPr>
              <w:spacing w:after="40" w:line="260" w:lineRule="auto"/>
            </w:pPr>
            <w:r>
              <w:rPr>
                <w:rFonts w:ascii="Calibri" w:cs="Calibri" w:eastAsia="Calibri" w:hAnsi="Calibri"/>
                <w:b/>
                <w:bCs/>
                <w:color w:val="FFFFFF"/>
                <w:sz w:val="19"/>
                <w:szCs w:val="19"/>
              </w:rPr>
              <w:t xml:space="preserve">Point to examine</w:t>
            </w:r>
          </w:p>
        </w:tc>
      </w:tr>
      <w:tr>
        <w:trPr>
          <w:cantSplit/>
        </w:trPr>
        <w:tc>
          <w:tcPr>
            <w:tcW w:type="dxa" w:w="2000"/>
            <w:tcBorders>
              <w:top w:val="single" w:color="BFBFBF" w:sz="4"/>
              <w:left w:val="single" w:color="BFBFBF" w:sz="4"/>
              <w:bottom w:val="single" w:color="BFBFBF" w:sz="4"/>
              <w:right w:val="single" w:color="BFBFBF" w:sz="4"/>
            </w:tcBorders>
            <w:shd w:fill="F8EDED" w:color="auto" w:val="clear"/>
            <w:tcMar>
              <w:top w:type="dxa" w:w="70"/>
              <w:left w:type="dxa" w:w="110"/>
              <w:bottom w:type="dxa" w:w="70"/>
              <w:right w:type="dxa" w:w="110"/>
            </w:tcMar>
            <w:vAlign w:val="top"/>
          </w:tcPr>
          <w:p>
            <w:pPr>
              <w:spacing w:after="40" w:line="260" w:lineRule="auto"/>
            </w:pPr>
            <w:r>
              <w:rPr>
                <w:rFonts w:ascii="Calibri" w:cs="Calibri" w:eastAsia="Calibri" w:hAnsi="Calibri"/>
                <w:b/>
                <w:bCs/>
                <w:sz w:val="19"/>
                <w:szCs w:val="19"/>
              </w:rPr>
              <w:t xml:space="preserve">Ensemble uncertainty</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0" w:lineRule="auto"/>
            </w:pPr>
            <w:r>
              <w:rPr>
                <w:rFonts w:ascii="Calibri" w:cs="Calibri" w:eastAsia="Calibri" w:hAnsi="Calibri"/>
                <w:b w:val="false"/>
                <w:bCs w:val="false"/>
                <w:sz w:val="19"/>
                <w:szCs w:val="19"/>
              </w:rPr>
              <w:t xml:space="preserve">Train several models (different seeds or architectures) and use the disagreement.</w:t>
            </w:r>
          </w:p>
        </w:tc>
        <w:tc>
          <w:tcPr>
            <w:tcW w:type="dxa" w:w="37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0" w:lineRule="auto"/>
            </w:pPr>
            <w:r>
              <w:rPr>
                <w:rFonts w:ascii="Calibri" w:cs="Calibri" w:eastAsia="Calibri" w:hAnsi="Calibri"/>
                <w:b w:val="false"/>
                <w:bCs w:val="false"/>
                <w:sz w:val="19"/>
                <w:szCs w:val="19"/>
              </w:rPr>
              <w:t xml:space="preserve">Computational cost; whether diversity is sufficient.</w:t>
            </w:r>
          </w:p>
        </w:tc>
      </w:tr>
      <w:tr>
        <w:trPr>
          <w:cantSplit/>
        </w:trPr>
        <w:tc>
          <w:tcPr>
            <w:tcW w:type="dxa" w:w="2000"/>
            <w:tcBorders>
              <w:top w:val="single" w:color="BFBFBF" w:sz="4"/>
              <w:left w:val="single" w:color="BFBFBF" w:sz="4"/>
              <w:bottom w:val="single" w:color="BFBFBF" w:sz="4"/>
              <w:right w:val="single" w:color="BFBFBF" w:sz="4"/>
            </w:tcBorders>
            <w:shd w:fill="F8EDED" w:color="auto" w:val="clear"/>
            <w:tcMar>
              <w:top w:type="dxa" w:w="70"/>
              <w:left w:type="dxa" w:w="110"/>
              <w:bottom w:type="dxa" w:w="70"/>
              <w:right w:type="dxa" w:w="110"/>
            </w:tcMar>
            <w:vAlign w:val="top"/>
          </w:tcPr>
          <w:p>
            <w:pPr>
              <w:spacing w:after="40" w:line="260" w:lineRule="auto"/>
            </w:pPr>
            <w:r>
              <w:rPr>
                <w:rFonts w:ascii="Calibri" w:cs="Calibri" w:eastAsia="Calibri" w:hAnsi="Calibri"/>
                <w:b/>
                <w:bCs/>
                <w:sz w:val="19"/>
                <w:szCs w:val="19"/>
              </w:rPr>
              <w:t xml:space="preserve">Monte Carlo Dropout</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0" w:lineRule="auto"/>
            </w:pPr>
            <w:r>
              <w:rPr>
                <w:rFonts w:ascii="Calibri" w:cs="Calibri" w:eastAsia="Calibri" w:hAnsi="Calibri"/>
                <w:b w:val="false"/>
                <w:bCs w:val="false"/>
                <w:sz w:val="19"/>
                <w:szCs w:val="19"/>
              </w:rPr>
              <w:t xml:space="preserve">Keep dropout active at inference and sample repeatedly.</w:t>
            </w:r>
          </w:p>
        </w:tc>
        <w:tc>
          <w:tcPr>
            <w:tcW w:type="dxa" w:w="37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0" w:lineRule="auto"/>
            </w:pPr>
            <w:r>
              <w:rPr>
                <w:rFonts w:ascii="Calibri" w:cs="Calibri" w:eastAsia="Calibri" w:hAnsi="Calibri"/>
                <w:b w:val="false"/>
                <w:bCs w:val="false"/>
                <w:sz w:val="19"/>
                <w:szCs w:val="19"/>
              </w:rPr>
              <w:t xml:space="preserve">Quality of the approximation depends on architecture.</w:t>
            </w:r>
          </w:p>
        </w:tc>
      </w:tr>
      <w:tr>
        <w:trPr>
          <w:cantSplit/>
        </w:trPr>
        <w:tc>
          <w:tcPr>
            <w:tcW w:type="dxa" w:w="2000"/>
            <w:tcBorders>
              <w:top w:val="single" w:color="BFBFBF" w:sz="4"/>
              <w:left w:val="single" w:color="BFBFBF" w:sz="4"/>
              <w:bottom w:val="single" w:color="BFBFBF" w:sz="4"/>
              <w:right w:val="single" w:color="BFBFBF" w:sz="4"/>
            </w:tcBorders>
            <w:shd w:fill="F8EDED" w:color="auto" w:val="clear"/>
            <w:tcMar>
              <w:top w:type="dxa" w:w="70"/>
              <w:left w:type="dxa" w:w="110"/>
              <w:bottom w:type="dxa" w:w="70"/>
              <w:right w:type="dxa" w:w="110"/>
            </w:tcMar>
            <w:vAlign w:val="top"/>
          </w:tcPr>
          <w:p>
            <w:pPr>
              <w:spacing w:after="40" w:line="260" w:lineRule="auto"/>
            </w:pPr>
            <w:r>
              <w:rPr>
                <w:rFonts w:ascii="Calibri" w:cs="Calibri" w:eastAsia="Calibri" w:hAnsi="Calibri"/>
                <w:b/>
                <w:bCs/>
                <w:sz w:val="19"/>
                <w:szCs w:val="19"/>
              </w:rPr>
              <w:t xml:space="preserve">Calibration methods</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0" w:lineRule="auto"/>
            </w:pPr>
            <w:r>
              <w:rPr>
                <w:rFonts w:ascii="Calibri" w:cs="Calibri" w:eastAsia="Calibri" w:hAnsi="Calibri"/>
                <w:b w:val="false"/>
                <w:bCs w:val="false"/>
                <w:sz w:val="19"/>
                <w:szCs w:val="19"/>
              </w:rPr>
              <w:t xml:space="preserve">Post-hoc recalibration of probabilities (for example temperature scaling or isotonic regression).</w:t>
            </w:r>
          </w:p>
        </w:tc>
        <w:tc>
          <w:tcPr>
            <w:tcW w:type="dxa" w:w="37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0" w:lineRule="auto"/>
            </w:pPr>
            <w:r>
              <w:rPr>
                <w:rFonts w:ascii="Calibri" w:cs="Calibri" w:eastAsia="Calibri" w:hAnsi="Calibri"/>
                <w:b w:val="false"/>
                <w:bCs w:val="false"/>
                <w:sz w:val="19"/>
                <w:szCs w:val="19"/>
              </w:rPr>
              <w:t xml:space="preserve">Improves probability reliability but is not a measure of model ignorance.</w:t>
            </w:r>
          </w:p>
        </w:tc>
      </w:tr>
      <w:tr>
        <w:trPr>
          <w:cantSplit/>
        </w:trPr>
        <w:tc>
          <w:tcPr>
            <w:tcW w:type="dxa" w:w="2000"/>
            <w:tcBorders>
              <w:top w:val="single" w:color="BFBFBF" w:sz="4"/>
              <w:left w:val="single" w:color="BFBFBF" w:sz="4"/>
              <w:bottom w:val="single" w:color="BFBFBF" w:sz="4"/>
              <w:right w:val="single" w:color="BFBFBF" w:sz="4"/>
            </w:tcBorders>
            <w:shd w:fill="F8EDED" w:color="auto" w:val="clear"/>
            <w:tcMar>
              <w:top w:type="dxa" w:w="70"/>
              <w:left w:type="dxa" w:w="110"/>
              <w:bottom w:type="dxa" w:w="70"/>
              <w:right w:type="dxa" w:w="110"/>
            </w:tcMar>
            <w:vAlign w:val="top"/>
          </w:tcPr>
          <w:p>
            <w:pPr>
              <w:spacing w:after="40" w:line="260" w:lineRule="auto"/>
            </w:pPr>
            <w:r>
              <w:rPr>
                <w:rFonts w:ascii="Calibri" w:cs="Calibri" w:eastAsia="Calibri" w:hAnsi="Calibri"/>
                <w:b/>
                <w:bCs/>
                <w:sz w:val="19"/>
                <w:szCs w:val="19"/>
              </w:rPr>
              <w:t xml:space="preserve">Conformal prediction</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0" w:lineRule="auto"/>
            </w:pPr>
            <w:r>
              <w:rPr>
                <w:rFonts w:ascii="Calibri" w:cs="Calibri" w:eastAsia="Calibri" w:hAnsi="Calibri"/>
                <w:b w:val="false"/>
                <w:bCs w:val="false"/>
                <w:sz w:val="19"/>
                <w:szCs w:val="19"/>
              </w:rPr>
              <w:t xml:space="preserve">Prediction sets or intervals with a coverage target.</w:t>
            </w:r>
          </w:p>
        </w:tc>
        <w:tc>
          <w:tcPr>
            <w:tcW w:type="dxa" w:w="37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0" w:lineRule="auto"/>
            </w:pPr>
            <w:r>
              <w:rPr>
                <w:rFonts w:ascii="Calibri" w:cs="Calibri" w:eastAsia="Calibri" w:hAnsi="Calibri"/>
                <w:b w:val="false"/>
                <w:bCs w:val="false"/>
                <w:sz w:val="19"/>
                <w:szCs w:val="19"/>
              </w:rPr>
              <w:t xml:space="preserve">Coverage guarantees assume conditions (such as exchangeability) that time series and distribution shift may violate.</w:t>
            </w:r>
          </w:p>
        </w:tc>
      </w:tr>
    </w:tbl>
    <w:p>
      <w:pPr>
        <w:pStyle w:val="Heading1"/>
        <w:keepNext/>
        <w:pBdr>
          <w:bottom w:val="single" w:color="8E2B2B" w:sz="8" w:space="3"/>
        </w:pBdr>
        <w:spacing w:after="140" w:before="360"/>
      </w:pPr>
      <w:r>
        <w:rPr>
          <w:rFonts w:ascii="Calibri" w:cs="Calibri" w:eastAsia="Calibri" w:hAnsi="Calibri"/>
          <w:b/>
          <w:bCs/>
          <w:color w:val="8E2B2B"/>
          <w:sz w:val="30"/>
          <w:szCs w:val="30"/>
        </w:rPr>
        <w:t xml:space="preserve">4. Example Final Explanation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8EDED" w:sz="4"/>
              <w:left w:val="single" w:color="8E2B2B" w:sz="24"/>
              <w:bottom w:val="single" w:color="F8EDED" w:sz="4"/>
              <w:right w:val="single" w:color="F8EDED" w:sz="4"/>
            </w:tcBorders>
            <w:shd w:fill="F8EDED" w:color="auto" w:val="clear"/>
            <w:tcMar>
              <w:top w:type="dxa" w:w="110"/>
              <w:left w:type="dxa" w:w="200"/>
              <w:bottom w:type="dxa" w:w="90"/>
              <w:right w:type="dxa" w:w="160"/>
            </w:tcMar>
          </w:tcPr>
          <w:p>
            <w:pPr>
              <w:spacing w:after="60"/>
            </w:pPr>
            <w:r>
              <w:rPr>
                <w:rFonts w:ascii="Calibri" w:cs="Calibri" w:eastAsia="Calibri" w:hAnsi="Calibri"/>
                <w:b/>
                <w:bCs/>
                <w:color w:val="8E2B2B"/>
                <w:sz w:val="20"/>
                <w:szCs w:val="20"/>
              </w:rPr>
              <w:t xml:space="preserve">ILLUSTRATIVE EXAMPLE — NOT AN EXPERIMENTAL RESULT</w:t>
            </w:r>
          </w:p>
          <w:p>
            <w:pPr>
              <w:spacing w:after="40" w:line="260" w:lineRule="auto"/>
            </w:pPr>
            <w:r>
              <w:rPr>
                <w:rFonts w:ascii="Calibri" w:cs="Calibri" w:eastAsia="Calibri" w:hAnsi="Calibri"/>
                <w:sz w:val="19"/>
                <w:szCs w:val="19"/>
              </w:rPr>
              <w:t xml:space="preserve">The report below only shows the intended </w:t>
            </w:r>
            <w:r>
              <w:rPr>
                <w:rFonts w:ascii="Calibri" w:cs="Calibri" w:eastAsia="Calibri" w:hAnsi="Calibri"/>
                <w:b/>
                <w:bCs/>
                <w:sz w:val="19"/>
                <w:szCs w:val="19"/>
              </w:rPr>
              <w:t xml:space="preserve">format</w:t>
            </w:r>
            <w:r>
              <w:rPr>
                <w:rFonts w:ascii="Calibri" w:cs="Calibri" w:eastAsia="Calibri" w:hAnsi="Calibri"/>
                <w:sz w:val="19"/>
                <w:szCs w:val="19"/>
              </w:rPr>
              <w:t xml:space="preserve"> of the output. All values are placeholders.</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E2B2B" w:sz="4"/>
              <w:left w:val="single" w:color="8E2B2B" w:sz="4"/>
              <w:bottom w:val="single" w:color="8E2B2B" w:sz="4"/>
              <w:right w:val="single" w:color="8E2B2B" w:sz="4"/>
            </w:tcBorders>
            <w:shd w:fill="8E2B2B" w:color="auto" w:val="clear"/>
            <w:tcMar>
              <w:top w:type="dxa" w:w="70"/>
              <w:left w:type="dxa" w:w="110"/>
              <w:bottom w:type="dxa" w:w="70"/>
              <w:right w:type="dxa" w:w="110"/>
            </w:tcMar>
            <w:vAlign w:val="top"/>
          </w:tcPr>
          <w:p>
            <w:pPr>
              <w:spacing w:after="40" w:line="260" w:lineRule="auto"/>
            </w:pPr>
            <w:r>
              <w:rPr>
                <w:rFonts w:ascii="Calibri" w:cs="Calibri" w:eastAsia="Calibri" w:hAnsi="Calibri"/>
                <w:b/>
                <w:bCs/>
                <w:color w:val="FFFFFF"/>
                <w:sz w:val="24"/>
                <w:szCs w:val="24"/>
              </w:rPr>
              <w:t xml:space="preserve">WARNING: HIGH DISRUPTION RISK</w:t>
            </w:r>
          </w:p>
        </w:tc>
      </w:tr>
      <w:tr>
        <w:tc>
          <w:tcPr>
            <w:tcW w:type="dxa" w:w="9026"/>
            <w:tcBorders>
              <w:top w:val="single" w:color="8E2B2B" w:sz="4"/>
              <w:left w:val="single" w:color="8E2B2B" w:sz="4"/>
              <w:bottom w:val="single" w:color="8E2B2B" w:sz="4"/>
              <w:right w:val="single" w:color="8E2B2B" w:sz="4"/>
            </w:tcBorders>
            <w:tcMar>
              <w:top w:type="dxa" w:w="70"/>
              <w:left w:type="dxa" w:w="110"/>
              <w:bottom w:type="dxa" w:w="70"/>
              <w:right w:type="dxa" w:w="110"/>
            </w:tcMar>
            <w:vAlign w:val="top"/>
          </w:tcPr>
          <w:p>
            <w:pPr>
              <w:spacing w:after="40" w:line="260" w:lineRule="auto"/>
            </w:pPr>
            <w:r>
              <w:rPr>
                <w:rFonts w:ascii="Calibri" w:cs="Calibri" w:eastAsia="Calibri" w:hAnsi="Calibri"/>
                <w:b/>
                <w:bCs/>
                <w:sz w:val="21"/>
                <w:szCs w:val="21"/>
              </w:rPr>
              <w:t xml:space="preserve">Disruption probability:</w:t>
            </w:r>
            <w:r>
              <w:rPr>
                <w:rFonts w:ascii="Calibri" w:cs="Calibri" w:eastAsia="Calibri" w:hAnsi="Calibri"/>
                <w:sz w:val="21"/>
                <w:szCs w:val="21"/>
              </w:rPr>
              <w:t xml:space="preserve"> 84%</w:t>
            </w:r>
          </w:p>
          <w:p>
            <w:pPr>
              <w:spacing w:after="40" w:line="260" w:lineRule="auto"/>
            </w:pPr>
            <w:r>
              <w:rPr>
                <w:rFonts w:ascii="Calibri" w:cs="Calibri" w:eastAsia="Calibri" w:hAnsi="Calibri"/>
                <w:b/>
                <w:bCs/>
                <w:sz w:val="21"/>
                <w:szCs w:val="21"/>
              </w:rPr>
              <w:t xml:space="preserve">Confidence:</w:t>
            </w:r>
            <w:r>
              <w:rPr>
                <w:rFonts w:ascii="Calibri" w:cs="Calibri" w:eastAsia="Calibri" w:hAnsi="Calibri"/>
                <w:sz w:val="21"/>
                <w:szCs w:val="21"/>
              </w:rPr>
              <w:t xml:space="preserve"> 91%</w:t>
            </w:r>
          </w:p>
          <w:p>
            <w:pPr>
              <w:spacing w:after="40" w:line="260" w:lineRule="auto"/>
            </w:pPr>
          </w:p>
          <w:p>
            <w:pPr>
              <w:spacing w:after="40" w:line="260" w:lineRule="auto"/>
            </w:pPr>
            <w:r>
              <w:rPr>
                <w:rFonts w:ascii="Calibri" w:cs="Calibri" w:eastAsia="Calibri" w:hAnsi="Calibri"/>
                <w:b/>
                <w:bCs/>
                <w:sz w:val="21"/>
                <w:szCs w:val="21"/>
              </w:rPr>
              <w:t xml:space="preserve">Major contributing factors</w:t>
            </w:r>
          </w:p>
          <w:p>
            <w:pPr>
              <w:spacing w:after="40" w:line="260" w:lineRule="auto"/>
            </w:pPr>
            <w:r>
              <w:rPr>
                <w:rFonts w:ascii="Calibri" w:cs="Calibri" w:eastAsia="Calibri" w:hAnsi="Calibri"/>
                <w:sz w:val="21"/>
                <w:szCs w:val="21"/>
              </w:rPr>
              <w:t xml:space="preserve">1. Transportation delay increased</w:t>
            </w:r>
          </w:p>
          <w:p>
            <w:pPr>
              <w:spacing w:after="40" w:line="260" w:lineRule="auto"/>
            </w:pPr>
            <w:r>
              <w:rPr>
                <w:rFonts w:ascii="Calibri" w:cs="Calibri" w:eastAsia="Calibri" w:hAnsi="Calibri"/>
                <w:sz w:val="21"/>
                <w:szCs w:val="21"/>
              </w:rPr>
              <w:t xml:space="preserve">2. Severe weather detected near the relevant route</w:t>
            </w:r>
          </w:p>
          <w:p>
            <w:pPr>
              <w:spacing w:after="40" w:line="260" w:lineRule="auto"/>
            </w:pPr>
            <w:r>
              <w:rPr>
                <w:rFonts w:ascii="Calibri" w:cs="Calibri" w:eastAsia="Calibri" w:hAnsi="Calibri"/>
                <w:sz w:val="21"/>
                <w:szCs w:val="21"/>
              </w:rPr>
              <w:t xml:space="preserve">3. Relevant port-disruption information identified in recent news</w:t>
            </w:r>
          </w:p>
          <w:p>
            <w:pPr>
              <w:spacing w:after="40" w:line="260" w:lineRule="auto"/>
            </w:pPr>
          </w:p>
          <w:p>
            <w:pPr>
              <w:spacing w:after="40" w:line="260" w:lineRule="auto"/>
            </w:pPr>
            <w:r>
              <w:rPr>
                <w:rFonts w:ascii="Calibri" w:cs="Calibri" w:eastAsia="Calibri" w:hAnsi="Calibri"/>
                <w:b/>
                <w:bCs/>
                <w:sz w:val="21"/>
                <w:szCs w:val="21"/>
              </w:rPr>
              <w:t xml:space="preserve">Evidence</w:t>
            </w:r>
          </w:p>
          <w:p>
            <w:pPr>
              <w:pStyle w:val="ListParagraph"/>
              <w:numPr>
                <w:ilvl w:val="0"/>
                <w:numId w:val="2"/>
              </w:numPr>
              <w:spacing w:after="30" w:line="260" w:lineRule="auto"/>
            </w:pPr>
            <w:r>
              <w:rPr>
                <w:rFonts w:ascii="Calibri" w:cs="Calibri" w:eastAsia="Calibri" w:hAnsi="Calibri"/>
                <w:sz w:val="21"/>
                <w:szCs w:val="21"/>
              </w:rPr>
              <w:t xml:space="preserve">Structured supply-chain signal</w:t>
            </w:r>
          </w:p>
          <w:p>
            <w:pPr>
              <w:pStyle w:val="ListParagraph"/>
              <w:numPr>
                <w:ilvl w:val="0"/>
                <w:numId w:val="2"/>
              </w:numPr>
              <w:spacing w:after="30" w:line="260" w:lineRule="auto"/>
            </w:pPr>
            <w:r>
              <w:rPr>
                <w:rFonts w:ascii="Calibri" w:cs="Calibri" w:eastAsia="Calibri" w:hAnsi="Calibri"/>
                <w:sz w:val="21"/>
                <w:szCs w:val="21"/>
              </w:rPr>
              <w:t xml:space="preserve">News evidence</w:t>
            </w:r>
          </w:p>
          <w:p>
            <w:pPr>
              <w:pStyle w:val="ListParagraph"/>
              <w:numPr>
                <w:ilvl w:val="0"/>
                <w:numId w:val="2"/>
              </w:numPr>
              <w:spacing w:after="30" w:line="260" w:lineRule="auto"/>
            </w:pPr>
            <w:r>
              <w:rPr>
                <w:rFonts w:ascii="Calibri" w:cs="Calibri" w:eastAsia="Calibri" w:hAnsi="Calibri"/>
                <w:sz w:val="21"/>
                <w:szCs w:val="21"/>
              </w:rPr>
              <w:t xml:space="preserve">External-event evidence</w:t>
            </w:r>
          </w:p>
          <w:p>
            <w:pPr>
              <w:spacing w:after="40" w:line="260" w:lineRule="auto"/>
            </w:pPr>
          </w:p>
          <w:p>
            <w:pPr>
              <w:spacing w:after="40" w:line="260" w:lineRule="auto"/>
            </w:pPr>
            <w:r>
              <w:rPr>
                <w:rFonts w:ascii="Calibri" w:cs="Calibri" w:eastAsia="Calibri" w:hAnsi="Calibri"/>
                <w:b/>
                <w:bCs/>
                <w:sz w:val="21"/>
                <w:szCs w:val="21"/>
              </w:rPr>
              <w:t xml:space="preserve">Uncertainty:</w:t>
            </w:r>
            <w:r>
              <w:rPr>
                <w:rFonts w:ascii="Calibri" w:cs="Calibri" w:eastAsia="Calibri" w:hAnsi="Calibri"/>
                <w:sz w:val="21"/>
                <w:szCs w:val="21"/>
              </w:rPr>
              <w:t xml:space="preserve"> 9%</w:t>
            </w:r>
          </w:p>
        </w:tc>
      </w:tr>
    </w:tbl>
    <w:p>
      <w:pPr>
        <w:spacing w:after="120" w:before="100" w:line="288" w:lineRule="auto"/>
      </w:pPr>
      <w:r>
        <w:rPr>
          <w:rFonts w:ascii="Calibri" w:cs="Calibri" w:eastAsia="Calibri" w:hAnsi="Calibri"/>
          <w:color w:val="595959"/>
          <w:sz w:val="19"/>
          <w:szCs w:val="19"/>
        </w:rPr>
        <w:t xml:space="preserve">In the real system, “confidence” and “uncertainty” will be defined by the uncertainty method actually used; the complementary values shown here are only for illustration.</w:t>
      </w:r>
    </w:p>
    <w:p>
      <w:pPr>
        <w:pStyle w:val="Heading1"/>
        <w:keepNext/>
        <w:pBdr>
          <w:bottom w:val="single" w:color="8E2B2B" w:sz="8" w:space="3"/>
        </w:pBdr>
        <w:spacing w:after="140" w:before="360"/>
      </w:pPr>
      <w:r>
        <w:rPr>
          <w:rFonts w:ascii="Calibri" w:cs="Calibri" w:eastAsia="Calibri" w:hAnsi="Calibri"/>
          <w:b/>
          <w:bCs/>
          <w:color w:val="8E2B2B"/>
          <w:sz w:val="30"/>
          <w:szCs w:val="30"/>
        </w:rPr>
        <w:t xml:space="preserve">5. Research Questions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5226"/>
        <w:gridCol w:w="3000"/>
      </w:tblGrid>
      <w:tr>
        <w:trPr>
          <w:cantSplit/>
          <w:tblHeader/>
        </w:trPr>
        <w:tc>
          <w:tcPr>
            <w:tcW w:type="dxa" w:w="800"/>
            <w:tcBorders>
              <w:top w:val="single" w:color="8E2B2B" w:sz="4"/>
              <w:left w:val="single" w:color="8E2B2B" w:sz="4"/>
              <w:bottom w:val="single" w:color="8E2B2B" w:sz="4"/>
              <w:right w:val="single" w:color="8E2B2B" w:sz="4"/>
            </w:tcBorders>
            <w:shd w:fill="8E2B2B" w:color="auto" w:val="clear"/>
            <w:tcMar>
              <w:top w:type="dxa" w:w="70"/>
              <w:left w:type="dxa" w:w="110"/>
              <w:bottom w:type="dxa" w:w="70"/>
              <w:right w:type="dxa" w:w="110"/>
            </w:tcMar>
            <w:vAlign w:val="top"/>
          </w:tcPr>
          <w:p>
            <w:pPr>
              <w:spacing w:after="40" w:line="260" w:lineRule="auto"/>
            </w:pPr>
            <w:r>
              <w:rPr>
                <w:rFonts w:ascii="Calibri" w:cs="Calibri" w:eastAsia="Calibri" w:hAnsi="Calibri"/>
                <w:b/>
                <w:bCs/>
                <w:color w:val="FFFFFF"/>
                <w:sz w:val="19"/>
                <w:szCs w:val="19"/>
              </w:rPr>
              <w:t xml:space="preserve">ID</w:t>
            </w:r>
          </w:p>
        </w:tc>
        <w:tc>
          <w:tcPr>
            <w:tcW w:type="dxa" w:w="5226"/>
            <w:tcBorders>
              <w:top w:val="single" w:color="8E2B2B" w:sz="4"/>
              <w:left w:val="single" w:color="8E2B2B" w:sz="4"/>
              <w:bottom w:val="single" w:color="8E2B2B" w:sz="4"/>
              <w:right w:val="single" w:color="8E2B2B" w:sz="4"/>
            </w:tcBorders>
            <w:shd w:fill="8E2B2B" w:color="auto" w:val="clear"/>
            <w:tcMar>
              <w:top w:type="dxa" w:w="70"/>
              <w:left w:type="dxa" w:w="110"/>
              <w:bottom w:type="dxa" w:w="70"/>
              <w:right w:type="dxa" w:w="110"/>
            </w:tcMar>
            <w:vAlign w:val="top"/>
          </w:tcPr>
          <w:p>
            <w:pPr>
              <w:spacing w:after="40" w:line="260" w:lineRule="auto"/>
            </w:pPr>
            <w:r>
              <w:rPr>
                <w:rFonts w:ascii="Calibri" w:cs="Calibri" w:eastAsia="Calibri" w:hAnsi="Calibri"/>
                <w:b/>
                <w:bCs/>
                <w:color w:val="FFFFFF"/>
                <w:sz w:val="19"/>
                <w:szCs w:val="19"/>
              </w:rPr>
              <w:t xml:space="preserve">Question</w:t>
            </w:r>
          </w:p>
        </w:tc>
        <w:tc>
          <w:tcPr>
            <w:tcW w:type="dxa" w:w="3000"/>
            <w:tcBorders>
              <w:top w:val="single" w:color="8E2B2B" w:sz="4"/>
              <w:left w:val="single" w:color="8E2B2B" w:sz="4"/>
              <w:bottom w:val="single" w:color="8E2B2B" w:sz="4"/>
              <w:right w:val="single" w:color="8E2B2B" w:sz="4"/>
            </w:tcBorders>
            <w:shd w:fill="8E2B2B" w:color="auto" w:val="clear"/>
            <w:tcMar>
              <w:top w:type="dxa" w:w="70"/>
              <w:left w:type="dxa" w:w="110"/>
              <w:bottom w:type="dxa" w:w="70"/>
              <w:right w:type="dxa" w:w="110"/>
            </w:tcMar>
            <w:vAlign w:val="top"/>
          </w:tcPr>
          <w:p>
            <w:pPr>
              <w:spacing w:after="40" w:line="260" w:lineRule="auto"/>
            </w:pPr>
            <w:r>
              <w:rPr>
                <w:rFonts w:ascii="Calibri" w:cs="Calibri" w:eastAsia="Calibri" w:hAnsi="Calibri"/>
                <w:b/>
                <w:bCs/>
                <w:color w:val="FFFFFF"/>
                <w:sz w:val="19"/>
                <w:szCs w:val="19"/>
              </w:rPr>
              <w:t xml:space="preserve">Addressed in</w:t>
            </w:r>
          </w:p>
        </w:tc>
      </w:tr>
      <w:tr>
        <w:trPr>
          <w:cantSplit/>
        </w:trPr>
        <w:tc>
          <w:tcPr>
            <w:tcW w:type="dxa" w:w="800"/>
            <w:tcBorders>
              <w:top w:val="single" w:color="BFBFBF" w:sz="4"/>
              <w:left w:val="single" w:color="BFBFBF" w:sz="4"/>
              <w:bottom w:val="single" w:color="BFBFBF" w:sz="4"/>
              <w:right w:val="single" w:color="BFBFBF" w:sz="4"/>
            </w:tcBorders>
            <w:shd w:fill="F8EDED" w:color="auto" w:val="clear"/>
            <w:tcMar>
              <w:top w:type="dxa" w:w="70"/>
              <w:left w:type="dxa" w:w="110"/>
              <w:bottom w:type="dxa" w:w="70"/>
              <w:right w:type="dxa" w:w="110"/>
            </w:tcMar>
            <w:vAlign w:val="top"/>
          </w:tcPr>
          <w:p>
            <w:pPr>
              <w:spacing w:after="40" w:line="260" w:lineRule="auto"/>
            </w:pPr>
            <w:r>
              <w:rPr>
                <w:rFonts w:ascii="Calibri" w:cs="Calibri" w:eastAsia="Calibri" w:hAnsi="Calibri"/>
                <w:b/>
                <w:bCs/>
                <w:sz w:val="19"/>
                <w:szCs w:val="19"/>
              </w:rPr>
              <w:t xml:space="preserve">RQ1</w:t>
            </w:r>
          </w:p>
        </w:tc>
        <w:tc>
          <w:tcPr>
            <w:tcW w:type="dxa" w:w="5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0" w:lineRule="auto"/>
            </w:pPr>
            <w:r>
              <w:rPr>
                <w:rFonts w:ascii="Calibri" w:cs="Calibri" w:eastAsia="Calibri" w:hAnsi="Calibri"/>
                <w:b w:val="false"/>
                <w:bCs w:val="false"/>
                <w:sz w:val="19"/>
                <w:szCs w:val="19"/>
              </w:rPr>
              <w:t xml:space="preserve">Does multimodal information improve early-warning performance compared with individual modalities?</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0" w:lineRule="auto"/>
            </w:pPr>
            <w:r>
              <w:rPr>
                <w:rFonts w:ascii="Calibri" w:cs="Calibri" w:eastAsia="Calibri" w:hAnsi="Calibri"/>
                <w:b w:val="false"/>
                <w:bCs w:val="false"/>
                <w:sz w:val="19"/>
                <w:szCs w:val="19"/>
              </w:rPr>
              <w:t xml:space="preserve">Modality baselines B1–B5</w:t>
            </w:r>
          </w:p>
        </w:tc>
      </w:tr>
      <w:tr>
        <w:trPr>
          <w:cantSplit/>
        </w:trPr>
        <w:tc>
          <w:tcPr>
            <w:tcW w:type="dxa" w:w="800"/>
            <w:tcBorders>
              <w:top w:val="single" w:color="BFBFBF" w:sz="4"/>
              <w:left w:val="single" w:color="BFBFBF" w:sz="4"/>
              <w:bottom w:val="single" w:color="BFBFBF" w:sz="4"/>
              <w:right w:val="single" w:color="BFBFBF" w:sz="4"/>
            </w:tcBorders>
            <w:shd w:fill="F8EDED" w:color="auto" w:val="clear"/>
            <w:tcMar>
              <w:top w:type="dxa" w:w="70"/>
              <w:left w:type="dxa" w:w="110"/>
              <w:bottom w:type="dxa" w:w="70"/>
              <w:right w:type="dxa" w:w="110"/>
            </w:tcMar>
            <w:vAlign w:val="top"/>
          </w:tcPr>
          <w:p>
            <w:pPr>
              <w:spacing w:after="40" w:line="260" w:lineRule="auto"/>
            </w:pPr>
            <w:r>
              <w:rPr>
                <w:rFonts w:ascii="Calibri" w:cs="Calibri" w:eastAsia="Calibri" w:hAnsi="Calibri"/>
                <w:b/>
                <w:bCs/>
                <w:sz w:val="19"/>
                <w:szCs w:val="19"/>
              </w:rPr>
              <w:t xml:space="preserve">RQ2</w:t>
            </w:r>
          </w:p>
        </w:tc>
        <w:tc>
          <w:tcPr>
            <w:tcW w:type="dxa" w:w="5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0" w:lineRule="auto"/>
            </w:pPr>
            <w:r>
              <w:rPr>
                <w:rFonts w:ascii="Calibri" w:cs="Calibri" w:eastAsia="Calibri" w:hAnsi="Calibri"/>
                <w:b w:val="false"/>
                <w:bCs w:val="false"/>
                <w:sz w:val="19"/>
                <w:szCs w:val="19"/>
              </w:rPr>
              <w:t xml:space="preserve">Can cross-modal attribution identify the contribution of different modalities to a disruption warning?</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0" w:lineRule="auto"/>
            </w:pPr>
            <w:r>
              <w:rPr>
                <w:rFonts w:ascii="Calibri" w:cs="Calibri" w:eastAsia="Calibri" w:hAnsi="Calibri"/>
                <w:b w:val="false"/>
                <w:bCs w:val="false"/>
                <w:sz w:val="19"/>
                <w:szCs w:val="19"/>
              </w:rPr>
              <w:t xml:space="preserve">Component D, fidelity tests</w:t>
            </w:r>
          </w:p>
        </w:tc>
      </w:tr>
      <w:tr>
        <w:trPr>
          <w:cantSplit/>
        </w:trPr>
        <w:tc>
          <w:tcPr>
            <w:tcW w:type="dxa" w:w="800"/>
            <w:tcBorders>
              <w:top w:val="single" w:color="BFBFBF" w:sz="4"/>
              <w:left w:val="single" w:color="BFBFBF" w:sz="4"/>
              <w:bottom w:val="single" w:color="BFBFBF" w:sz="4"/>
              <w:right w:val="single" w:color="BFBFBF" w:sz="4"/>
            </w:tcBorders>
            <w:shd w:fill="F8EDED" w:color="auto" w:val="clear"/>
            <w:tcMar>
              <w:top w:type="dxa" w:w="70"/>
              <w:left w:type="dxa" w:w="110"/>
              <w:bottom w:type="dxa" w:w="70"/>
              <w:right w:type="dxa" w:w="110"/>
            </w:tcMar>
            <w:vAlign w:val="top"/>
          </w:tcPr>
          <w:p>
            <w:pPr>
              <w:spacing w:after="40" w:line="260" w:lineRule="auto"/>
            </w:pPr>
            <w:r>
              <w:rPr>
                <w:rFonts w:ascii="Calibri" w:cs="Calibri" w:eastAsia="Calibri" w:hAnsi="Calibri"/>
                <w:b/>
                <w:bCs/>
                <w:sz w:val="19"/>
                <w:szCs w:val="19"/>
              </w:rPr>
              <w:t xml:space="preserve">RQ3</w:t>
            </w:r>
          </w:p>
        </w:tc>
        <w:tc>
          <w:tcPr>
            <w:tcW w:type="dxa" w:w="5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0" w:lineRule="auto"/>
            </w:pPr>
            <w:r>
              <w:rPr>
                <w:rFonts w:ascii="Calibri" w:cs="Calibri" w:eastAsia="Calibri" w:hAnsi="Calibri"/>
                <w:b w:val="false"/>
                <w:bCs w:val="false"/>
                <w:sz w:val="19"/>
                <w:szCs w:val="19"/>
              </w:rPr>
              <w:t xml:space="preserve">Can evidence-grounded explanations improve the faithfulness and auditability of multimodal early-warning predictions?</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0" w:lineRule="auto"/>
            </w:pPr>
            <w:r>
              <w:rPr>
                <w:rFonts w:ascii="Calibri" w:cs="Calibri" w:eastAsia="Calibri" w:hAnsi="Calibri"/>
                <w:b w:val="false"/>
                <w:bCs w:val="false"/>
                <w:sz w:val="19"/>
                <w:szCs w:val="19"/>
              </w:rPr>
              <w:t xml:space="preserve">Components E–F, evidence consistency</w:t>
            </w:r>
          </w:p>
        </w:tc>
      </w:tr>
      <w:tr>
        <w:trPr>
          <w:cantSplit/>
        </w:trPr>
        <w:tc>
          <w:tcPr>
            <w:tcW w:type="dxa" w:w="800"/>
            <w:tcBorders>
              <w:top w:val="single" w:color="BFBFBF" w:sz="4"/>
              <w:left w:val="single" w:color="BFBFBF" w:sz="4"/>
              <w:bottom w:val="single" w:color="BFBFBF" w:sz="4"/>
              <w:right w:val="single" w:color="BFBFBF" w:sz="4"/>
            </w:tcBorders>
            <w:shd w:fill="F8EDED" w:color="auto" w:val="clear"/>
            <w:tcMar>
              <w:top w:type="dxa" w:w="70"/>
              <w:left w:type="dxa" w:w="110"/>
              <w:bottom w:type="dxa" w:w="70"/>
              <w:right w:type="dxa" w:w="110"/>
            </w:tcMar>
            <w:vAlign w:val="top"/>
          </w:tcPr>
          <w:p>
            <w:pPr>
              <w:spacing w:after="40" w:line="260" w:lineRule="auto"/>
            </w:pPr>
            <w:r>
              <w:rPr>
                <w:rFonts w:ascii="Calibri" w:cs="Calibri" w:eastAsia="Calibri" w:hAnsi="Calibri"/>
                <w:b/>
                <w:bCs/>
                <w:sz w:val="19"/>
                <w:szCs w:val="19"/>
              </w:rPr>
              <w:t xml:space="preserve">RQ4</w:t>
            </w:r>
          </w:p>
        </w:tc>
        <w:tc>
          <w:tcPr>
            <w:tcW w:type="dxa" w:w="5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0" w:lineRule="auto"/>
            </w:pPr>
            <w:r>
              <w:rPr>
                <w:rFonts w:ascii="Calibri" w:cs="Calibri" w:eastAsia="Calibri" w:hAnsi="Calibri"/>
                <w:b w:val="false"/>
                <w:bCs w:val="false"/>
                <w:sz w:val="19"/>
                <w:szCs w:val="19"/>
              </w:rPr>
              <w:t xml:space="preserve">Can uncertainty estimation improve the reliability of early-warning decisions?</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0" w:lineRule="auto"/>
            </w:pPr>
            <w:r>
              <w:rPr>
                <w:rFonts w:ascii="Calibri" w:cs="Calibri" w:eastAsia="Calibri" w:hAnsi="Calibri"/>
                <w:b w:val="false"/>
                <w:bCs w:val="false"/>
                <w:sz w:val="19"/>
                <w:szCs w:val="19"/>
              </w:rPr>
              <w:t xml:space="preserve">Uncertainty comparison, calibration metrics</w:t>
            </w:r>
          </w:p>
        </w:tc>
      </w:tr>
      <w:tr>
        <w:trPr>
          <w:cantSplit/>
        </w:trPr>
        <w:tc>
          <w:tcPr>
            <w:tcW w:type="dxa" w:w="800"/>
            <w:tcBorders>
              <w:top w:val="single" w:color="BFBFBF" w:sz="4"/>
              <w:left w:val="single" w:color="BFBFBF" w:sz="4"/>
              <w:bottom w:val="single" w:color="BFBFBF" w:sz="4"/>
              <w:right w:val="single" w:color="BFBFBF" w:sz="4"/>
            </w:tcBorders>
            <w:shd w:fill="F8EDED" w:color="auto" w:val="clear"/>
            <w:tcMar>
              <w:top w:type="dxa" w:w="70"/>
              <w:left w:type="dxa" w:w="110"/>
              <w:bottom w:type="dxa" w:w="70"/>
              <w:right w:type="dxa" w:w="110"/>
            </w:tcMar>
            <w:vAlign w:val="top"/>
          </w:tcPr>
          <w:p>
            <w:pPr>
              <w:spacing w:after="40" w:line="260" w:lineRule="auto"/>
            </w:pPr>
            <w:r>
              <w:rPr>
                <w:rFonts w:ascii="Calibri" w:cs="Calibri" w:eastAsia="Calibri" w:hAnsi="Calibri"/>
                <w:b/>
                <w:bCs/>
                <w:sz w:val="19"/>
                <w:szCs w:val="19"/>
              </w:rPr>
              <w:t xml:space="preserve">RQ5</w:t>
            </w:r>
          </w:p>
        </w:tc>
        <w:tc>
          <w:tcPr>
            <w:tcW w:type="dxa" w:w="5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0" w:lineRule="auto"/>
            </w:pPr>
            <w:r>
              <w:rPr>
                <w:rFonts w:ascii="Calibri" w:cs="Calibri" w:eastAsia="Calibri" w:hAnsi="Calibri"/>
                <w:b w:val="false"/>
                <w:bCs w:val="false"/>
                <w:sz w:val="19"/>
                <w:szCs w:val="19"/>
              </w:rPr>
              <w:t xml:space="preserve">How stable and faithful are the generated explanations under small changes in input data?</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0" w:lineRule="auto"/>
            </w:pPr>
            <w:r>
              <w:rPr>
                <w:rFonts w:ascii="Calibri" w:cs="Calibri" w:eastAsia="Calibri" w:hAnsi="Calibri"/>
                <w:b w:val="false"/>
                <w:bCs w:val="false"/>
                <w:sz w:val="19"/>
                <w:szCs w:val="19"/>
              </w:rPr>
              <w:t xml:space="preserve">Stability and fidelity experiments</w:t>
            </w:r>
          </w:p>
        </w:tc>
      </w:tr>
    </w:tbl>
    <w:p>
      <w:pPr>
        <w:pStyle w:val="Heading1"/>
        <w:keepNext/>
        <w:pBdr>
          <w:bottom w:val="single" w:color="8E2B2B" w:sz="8" w:space="3"/>
        </w:pBdr>
        <w:spacing w:after="140" w:before="360"/>
      </w:pPr>
      <w:r>
        <w:rPr>
          <w:rFonts w:ascii="Calibri" w:cs="Calibri" w:eastAsia="Calibri" w:hAnsi="Calibri"/>
          <w:b/>
          <w:bCs/>
          <w:color w:val="8E2B2B"/>
          <w:sz w:val="30"/>
          <w:szCs w:val="30"/>
        </w:rPr>
        <w:t xml:space="preserve">6. Experimental Design</w:t>
      </w:r>
    </w:p>
    <w:p>
      <w:pPr>
        <w:spacing w:after="120" w:before="0" w:line="288" w:lineRule="auto"/>
      </w:pPr>
      <w:r>
        <w:rPr>
          <w:rFonts w:ascii="Calibri" w:cs="Calibri" w:eastAsia="Calibri" w:hAnsi="Calibri"/>
          <w:sz w:val="21"/>
          <w:szCs w:val="21"/>
        </w:rPr>
        <w:t xml:space="preserve">No results are stated here. The tables define what will be compared, so that the paper’s claims can be tested. Datasets are </w:t>
      </w:r>
      <w:r>
        <w:rPr>
          <w:rFonts w:ascii="Calibri" w:cs="Calibri" w:eastAsia="Calibri" w:hAnsi="Calibri"/>
          <w:b/>
          <w:bCs/>
          <w:sz w:val="21"/>
          <w:szCs w:val="21"/>
        </w:rPr>
        <w:t xml:space="preserve">not yet selected</w:t>
      </w:r>
      <w:r>
        <w:rPr>
          <w:rFonts w:ascii="Calibri" w:cs="Calibri" w:eastAsia="Calibri" w:hAnsi="Calibri"/>
          <w:sz w:val="21"/>
          <w:szCs w:val="21"/>
        </w:rPr>
        <w:t xml:space="preserve">; see Section 9 for the dataset and label decision.</w:t>
      </w:r>
    </w:p>
    <w:p>
      <w:pPr>
        <w:pStyle w:val="Heading2"/>
        <w:keepNext/>
        <w:spacing w:after="100" w:before="240"/>
      </w:pPr>
      <w:r>
        <w:rPr>
          <w:rFonts w:ascii="Calibri" w:cs="Calibri" w:eastAsia="Calibri" w:hAnsi="Calibri"/>
          <w:b/>
          <w:bCs/>
          <w:color w:val="8E2B2B"/>
          <w:sz w:val="25"/>
          <w:szCs w:val="25"/>
        </w:rPr>
        <w:t xml:space="preserve">6.1 Modality baselines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4000"/>
        <w:gridCol w:w="4026"/>
      </w:tblGrid>
      <w:tr>
        <w:trPr>
          <w:cantSplit/>
          <w:tblHeader/>
        </w:trPr>
        <w:tc>
          <w:tcPr>
            <w:tcW w:type="dxa" w:w="1000"/>
            <w:tcBorders>
              <w:top w:val="single" w:color="8E2B2B" w:sz="4"/>
              <w:left w:val="single" w:color="8E2B2B" w:sz="4"/>
              <w:bottom w:val="single" w:color="8E2B2B" w:sz="4"/>
              <w:right w:val="single" w:color="8E2B2B" w:sz="4"/>
            </w:tcBorders>
            <w:shd w:fill="8E2B2B" w:color="auto" w:val="clear"/>
            <w:tcMar>
              <w:top w:type="dxa" w:w="70"/>
              <w:left w:type="dxa" w:w="110"/>
              <w:bottom w:type="dxa" w:w="70"/>
              <w:right w:type="dxa" w:w="110"/>
            </w:tcMar>
            <w:vAlign w:val="top"/>
          </w:tcPr>
          <w:p>
            <w:pPr>
              <w:spacing w:after="40" w:line="260" w:lineRule="auto"/>
            </w:pPr>
            <w:r>
              <w:rPr>
                <w:rFonts w:ascii="Calibri" w:cs="Calibri" w:eastAsia="Calibri" w:hAnsi="Calibri"/>
                <w:b/>
                <w:bCs/>
                <w:color w:val="FFFFFF"/>
                <w:sz w:val="19"/>
                <w:szCs w:val="19"/>
              </w:rPr>
              <w:t xml:space="preserve">ID</w:t>
            </w:r>
          </w:p>
        </w:tc>
        <w:tc>
          <w:tcPr>
            <w:tcW w:type="dxa" w:w="4000"/>
            <w:tcBorders>
              <w:top w:val="single" w:color="8E2B2B" w:sz="4"/>
              <w:left w:val="single" w:color="8E2B2B" w:sz="4"/>
              <w:bottom w:val="single" w:color="8E2B2B" w:sz="4"/>
              <w:right w:val="single" w:color="8E2B2B" w:sz="4"/>
            </w:tcBorders>
            <w:shd w:fill="8E2B2B" w:color="auto" w:val="clear"/>
            <w:tcMar>
              <w:top w:type="dxa" w:w="70"/>
              <w:left w:type="dxa" w:w="110"/>
              <w:bottom w:type="dxa" w:w="70"/>
              <w:right w:type="dxa" w:w="110"/>
            </w:tcMar>
            <w:vAlign w:val="top"/>
          </w:tcPr>
          <w:p>
            <w:pPr>
              <w:spacing w:after="40" w:line="260" w:lineRule="auto"/>
            </w:pPr>
            <w:r>
              <w:rPr>
                <w:rFonts w:ascii="Calibri" w:cs="Calibri" w:eastAsia="Calibri" w:hAnsi="Calibri"/>
                <w:b/>
                <w:bCs/>
                <w:color w:val="FFFFFF"/>
                <w:sz w:val="19"/>
                <w:szCs w:val="19"/>
              </w:rPr>
              <w:t xml:space="preserve">Input</w:t>
            </w:r>
          </w:p>
        </w:tc>
        <w:tc>
          <w:tcPr>
            <w:tcW w:type="dxa" w:w="4026"/>
            <w:tcBorders>
              <w:top w:val="single" w:color="8E2B2B" w:sz="4"/>
              <w:left w:val="single" w:color="8E2B2B" w:sz="4"/>
              <w:bottom w:val="single" w:color="8E2B2B" w:sz="4"/>
              <w:right w:val="single" w:color="8E2B2B" w:sz="4"/>
            </w:tcBorders>
            <w:shd w:fill="8E2B2B" w:color="auto" w:val="clear"/>
            <w:tcMar>
              <w:top w:type="dxa" w:w="70"/>
              <w:left w:type="dxa" w:w="110"/>
              <w:bottom w:type="dxa" w:w="70"/>
              <w:right w:type="dxa" w:w="110"/>
            </w:tcMar>
            <w:vAlign w:val="top"/>
          </w:tcPr>
          <w:p>
            <w:pPr>
              <w:spacing w:after="40" w:line="260" w:lineRule="auto"/>
            </w:pPr>
            <w:r>
              <w:rPr>
                <w:rFonts w:ascii="Calibri" w:cs="Calibri" w:eastAsia="Calibri" w:hAnsi="Calibri"/>
                <w:b/>
                <w:bCs/>
                <w:color w:val="FFFFFF"/>
                <w:sz w:val="19"/>
                <w:szCs w:val="19"/>
              </w:rPr>
              <w:t xml:space="preserve">Purpose</w:t>
            </w:r>
          </w:p>
        </w:tc>
      </w:tr>
      <w:tr>
        <w:trPr>
          <w:cantSplit/>
        </w:trPr>
        <w:tc>
          <w:tcPr>
            <w:tcW w:type="dxa" w:w="1000"/>
            <w:tcBorders>
              <w:top w:val="single" w:color="BFBFBF" w:sz="4"/>
              <w:left w:val="single" w:color="BFBFBF" w:sz="4"/>
              <w:bottom w:val="single" w:color="BFBFBF" w:sz="4"/>
              <w:right w:val="single" w:color="BFBFBF" w:sz="4"/>
            </w:tcBorders>
            <w:shd w:fill="F8EDED" w:color="auto" w:val="clear"/>
            <w:tcMar>
              <w:top w:type="dxa" w:w="70"/>
              <w:left w:type="dxa" w:w="110"/>
              <w:bottom w:type="dxa" w:w="70"/>
              <w:right w:type="dxa" w:w="110"/>
            </w:tcMar>
            <w:vAlign w:val="top"/>
          </w:tcPr>
          <w:p>
            <w:pPr>
              <w:spacing w:after="40" w:line="260" w:lineRule="auto"/>
            </w:pPr>
            <w:r>
              <w:rPr>
                <w:rFonts w:ascii="Calibri" w:cs="Calibri" w:eastAsia="Calibri" w:hAnsi="Calibri"/>
                <w:b/>
                <w:bCs/>
                <w:sz w:val="19"/>
                <w:szCs w:val="19"/>
              </w:rPr>
              <w:t xml:space="preserve">B1</w:t>
            </w:r>
          </w:p>
        </w:tc>
        <w:tc>
          <w:tcPr>
            <w:tcW w:type="dxa" w:w="4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0" w:lineRule="auto"/>
            </w:pPr>
            <w:r>
              <w:rPr>
                <w:rFonts w:ascii="Calibri" w:cs="Calibri" w:eastAsia="Calibri" w:hAnsi="Calibri"/>
                <w:b w:val="false"/>
                <w:bCs w:val="false"/>
                <w:sz w:val="19"/>
                <w:szCs w:val="19"/>
              </w:rPr>
              <w:t xml:space="preserve">Structured / time-series only</w:t>
            </w:r>
          </w:p>
        </w:tc>
        <w:tc>
          <w:tcPr>
            <w:tcW w:type="dxa" w:w="40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0" w:lineRule="auto"/>
            </w:pPr>
            <w:r>
              <w:rPr>
                <w:rFonts w:ascii="Calibri" w:cs="Calibri" w:eastAsia="Calibri" w:hAnsi="Calibri"/>
                <w:b w:val="false"/>
                <w:bCs w:val="false"/>
                <w:sz w:val="19"/>
                <w:szCs w:val="19"/>
              </w:rPr>
              <w:t xml:space="preserve">Single-modality reference</w:t>
            </w:r>
          </w:p>
        </w:tc>
      </w:tr>
      <w:tr>
        <w:trPr>
          <w:cantSplit/>
        </w:trPr>
        <w:tc>
          <w:tcPr>
            <w:tcW w:type="dxa" w:w="1000"/>
            <w:tcBorders>
              <w:top w:val="single" w:color="BFBFBF" w:sz="4"/>
              <w:left w:val="single" w:color="BFBFBF" w:sz="4"/>
              <w:bottom w:val="single" w:color="BFBFBF" w:sz="4"/>
              <w:right w:val="single" w:color="BFBFBF" w:sz="4"/>
            </w:tcBorders>
            <w:shd w:fill="F8EDED" w:color="auto" w:val="clear"/>
            <w:tcMar>
              <w:top w:type="dxa" w:w="70"/>
              <w:left w:type="dxa" w:w="110"/>
              <w:bottom w:type="dxa" w:w="70"/>
              <w:right w:type="dxa" w:w="110"/>
            </w:tcMar>
            <w:vAlign w:val="top"/>
          </w:tcPr>
          <w:p>
            <w:pPr>
              <w:spacing w:after="40" w:line="260" w:lineRule="auto"/>
            </w:pPr>
            <w:r>
              <w:rPr>
                <w:rFonts w:ascii="Calibri" w:cs="Calibri" w:eastAsia="Calibri" w:hAnsi="Calibri"/>
                <w:b/>
                <w:bCs/>
                <w:sz w:val="19"/>
                <w:szCs w:val="19"/>
              </w:rPr>
              <w:t xml:space="preserve">B2</w:t>
            </w:r>
          </w:p>
        </w:tc>
        <w:tc>
          <w:tcPr>
            <w:tcW w:type="dxa" w:w="4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0" w:lineRule="auto"/>
            </w:pPr>
            <w:r>
              <w:rPr>
                <w:rFonts w:ascii="Calibri" w:cs="Calibri" w:eastAsia="Calibri" w:hAnsi="Calibri"/>
                <w:b w:val="false"/>
                <w:bCs w:val="false"/>
                <w:sz w:val="19"/>
                <w:szCs w:val="19"/>
              </w:rPr>
              <w:t xml:space="preserve">News / text only</w:t>
            </w:r>
          </w:p>
        </w:tc>
        <w:tc>
          <w:tcPr>
            <w:tcW w:type="dxa" w:w="40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0" w:lineRule="auto"/>
            </w:pPr>
            <w:r>
              <w:rPr>
                <w:rFonts w:ascii="Calibri" w:cs="Calibri" w:eastAsia="Calibri" w:hAnsi="Calibri"/>
                <w:b w:val="false"/>
                <w:bCs w:val="false"/>
                <w:sz w:val="19"/>
                <w:szCs w:val="19"/>
              </w:rPr>
              <w:t xml:space="preserve">Single-modality reference</w:t>
            </w:r>
          </w:p>
        </w:tc>
      </w:tr>
      <w:tr>
        <w:trPr>
          <w:cantSplit/>
        </w:trPr>
        <w:tc>
          <w:tcPr>
            <w:tcW w:type="dxa" w:w="1000"/>
            <w:tcBorders>
              <w:top w:val="single" w:color="BFBFBF" w:sz="4"/>
              <w:left w:val="single" w:color="BFBFBF" w:sz="4"/>
              <w:bottom w:val="single" w:color="BFBFBF" w:sz="4"/>
              <w:right w:val="single" w:color="BFBFBF" w:sz="4"/>
            </w:tcBorders>
            <w:shd w:fill="F8EDED" w:color="auto" w:val="clear"/>
            <w:tcMar>
              <w:top w:type="dxa" w:w="70"/>
              <w:left w:type="dxa" w:w="110"/>
              <w:bottom w:type="dxa" w:w="70"/>
              <w:right w:type="dxa" w:w="110"/>
            </w:tcMar>
            <w:vAlign w:val="top"/>
          </w:tcPr>
          <w:p>
            <w:pPr>
              <w:spacing w:after="40" w:line="260" w:lineRule="auto"/>
            </w:pPr>
            <w:r>
              <w:rPr>
                <w:rFonts w:ascii="Calibri" w:cs="Calibri" w:eastAsia="Calibri" w:hAnsi="Calibri"/>
                <w:b/>
                <w:bCs/>
                <w:sz w:val="19"/>
                <w:szCs w:val="19"/>
              </w:rPr>
              <w:t xml:space="preserve">B3</w:t>
            </w:r>
          </w:p>
        </w:tc>
        <w:tc>
          <w:tcPr>
            <w:tcW w:type="dxa" w:w="4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0" w:lineRule="auto"/>
            </w:pPr>
            <w:r>
              <w:rPr>
                <w:rFonts w:ascii="Calibri" w:cs="Calibri" w:eastAsia="Calibri" w:hAnsi="Calibri"/>
                <w:b w:val="false"/>
                <w:bCs w:val="false"/>
                <w:sz w:val="19"/>
                <w:szCs w:val="19"/>
              </w:rPr>
              <w:t xml:space="preserve">External-event only</w:t>
            </w:r>
          </w:p>
        </w:tc>
        <w:tc>
          <w:tcPr>
            <w:tcW w:type="dxa" w:w="40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0" w:lineRule="auto"/>
            </w:pPr>
            <w:r>
              <w:rPr>
                <w:rFonts w:ascii="Calibri" w:cs="Calibri" w:eastAsia="Calibri" w:hAnsi="Calibri"/>
                <w:b w:val="false"/>
                <w:bCs w:val="false"/>
                <w:sz w:val="19"/>
                <w:szCs w:val="19"/>
              </w:rPr>
              <w:t xml:space="preserve">Single-modality reference</w:t>
            </w:r>
          </w:p>
        </w:tc>
      </w:tr>
      <w:tr>
        <w:trPr>
          <w:cantSplit/>
        </w:trPr>
        <w:tc>
          <w:tcPr>
            <w:tcW w:type="dxa" w:w="1000"/>
            <w:tcBorders>
              <w:top w:val="single" w:color="BFBFBF" w:sz="4"/>
              <w:left w:val="single" w:color="BFBFBF" w:sz="4"/>
              <w:bottom w:val="single" w:color="BFBFBF" w:sz="4"/>
              <w:right w:val="single" w:color="BFBFBF" w:sz="4"/>
            </w:tcBorders>
            <w:shd w:fill="F8EDED" w:color="auto" w:val="clear"/>
            <w:tcMar>
              <w:top w:type="dxa" w:w="70"/>
              <w:left w:type="dxa" w:w="110"/>
              <w:bottom w:type="dxa" w:w="70"/>
              <w:right w:type="dxa" w:w="110"/>
            </w:tcMar>
            <w:vAlign w:val="top"/>
          </w:tcPr>
          <w:p>
            <w:pPr>
              <w:spacing w:after="40" w:line="260" w:lineRule="auto"/>
            </w:pPr>
            <w:r>
              <w:rPr>
                <w:rFonts w:ascii="Calibri" w:cs="Calibri" w:eastAsia="Calibri" w:hAnsi="Calibri"/>
                <w:b/>
                <w:bCs/>
                <w:sz w:val="19"/>
                <w:szCs w:val="19"/>
              </w:rPr>
              <w:t xml:space="preserve">B4</w:t>
            </w:r>
          </w:p>
        </w:tc>
        <w:tc>
          <w:tcPr>
            <w:tcW w:type="dxa" w:w="4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0" w:lineRule="auto"/>
            </w:pPr>
            <w:r>
              <w:rPr>
                <w:rFonts w:ascii="Calibri" w:cs="Calibri" w:eastAsia="Calibri" w:hAnsi="Calibri"/>
                <w:b w:val="false"/>
                <w:bCs w:val="false"/>
                <w:sz w:val="19"/>
                <w:szCs w:val="19"/>
              </w:rPr>
              <w:t xml:space="preserve">Structured + News</w:t>
            </w:r>
          </w:p>
        </w:tc>
        <w:tc>
          <w:tcPr>
            <w:tcW w:type="dxa" w:w="40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0" w:lineRule="auto"/>
            </w:pPr>
            <w:r>
              <w:rPr>
                <w:rFonts w:ascii="Calibri" w:cs="Calibri" w:eastAsia="Calibri" w:hAnsi="Calibri"/>
                <w:b w:val="false"/>
                <w:bCs w:val="false"/>
                <w:sz w:val="19"/>
                <w:szCs w:val="19"/>
              </w:rPr>
              <w:t xml:space="preserve">Effect of adding text</w:t>
            </w:r>
          </w:p>
        </w:tc>
      </w:tr>
      <w:tr>
        <w:trPr>
          <w:cantSplit/>
        </w:trPr>
        <w:tc>
          <w:tcPr>
            <w:tcW w:type="dxa" w:w="1000"/>
            <w:tcBorders>
              <w:top w:val="single" w:color="BFBFBF" w:sz="4"/>
              <w:left w:val="single" w:color="BFBFBF" w:sz="4"/>
              <w:bottom w:val="single" w:color="BFBFBF" w:sz="4"/>
              <w:right w:val="single" w:color="BFBFBF" w:sz="4"/>
            </w:tcBorders>
            <w:shd w:fill="F8EDED" w:color="auto" w:val="clear"/>
            <w:tcMar>
              <w:top w:type="dxa" w:w="70"/>
              <w:left w:type="dxa" w:w="110"/>
              <w:bottom w:type="dxa" w:w="70"/>
              <w:right w:type="dxa" w:w="110"/>
            </w:tcMar>
            <w:vAlign w:val="top"/>
          </w:tcPr>
          <w:p>
            <w:pPr>
              <w:spacing w:after="40" w:line="260" w:lineRule="auto"/>
            </w:pPr>
            <w:r>
              <w:rPr>
                <w:rFonts w:ascii="Calibri" w:cs="Calibri" w:eastAsia="Calibri" w:hAnsi="Calibri"/>
                <w:b/>
                <w:bCs/>
                <w:sz w:val="19"/>
                <w:szCs w:val="19"/>
              </w:rPr>
              <w:t xml:space="preserve">B5</w:t>
            </w:r>
          </w:p>
        </w:tc>
        <w:tc>
          <w:tcPr>
            <w:tcW w:type="dxa" w:w="4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0" w:lineRule="auto"/>
            </w:pPr>
            <w:r>
              <w:rPr>
                <w:rFonts w:ascii="Calibri" w:cs="Calibri" w:eastAsia="Calibri" w:hAnsi="Calibri"/>
                <w:b w:val="false"/>
                <w:bCs w:val="false"/>
                <w:sz w:val="19"/>
                <w:szCs w:val="19"/>
              </w:rPr>
              <w:t xml:space="preserve">Structured + News + External events</w:t>
            </w:r>
          </w:p>
        </w:tc>
        <w:tc>
          <w:tcPr>
            <w:tcW w:type="dxa" w:w="40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0" w:lineRule="auto"/>
            </w:pPr>
            <w:r>
              <w:rPr>
                <w:rFonts w:ascii="Calibri" w:cs="Calibri" w:eastAsia="Calibri" w:hAnsi="Calibri"/>
                <w:b w:val="false"/>
                <w:bCs w:val="false"/>
                <w:sz w:val="19"/>
                <w:szCs w:val="19"/>
              </w:rPr>
              <w:t xml:space="preserve">Full multimodal input</w:t>
            </w:r>
          </w:p>
        </w:tc>
      </w:tr>
    </w:tbl>
    <w:p>
      <w:pPr>
        <w:pStyle w:val="Heading2"/>
        <w:keepNext/>
        <w:spacing w:after="100" w:before="240"/>
      </w:pPr>
      <w:r>
        <w:rPr>
          <w:rFonts w:ascii="Calibri" w:cs="Calibri" w:eastAsia="Calibri" w:hAnsi="Calibri"/>
          <w:b/>
          <w:bCs/>
          <w:color w:val="8E2B2B"/>
          <w:sz w:val="25"/>
          <w:szCs w:val="25"/>
        </w:rPr>
        <w:t xml:space="preserve">6.2 Fusion comparison</w:t>
      </w:r>
    </w:p>
    <w:p>
      <w:pPr>
        <w:spacing w:after="120" w:before="0" w:line="288" w:lineRule="auto"/>
      </w:pPr>
      <w:r>
        <w:rPr>
          <w:rFonts w:ascii="Calibri" w:cs="Calibri" w:eastAsia="Calibri" w:hAnsi="Calibri"/>
          <w:sz w:val="21"/>
          <w:szCs w:val="21"/>
        </w:rPr>
        <w:t xml:space="preserve">Early, intermediate and late fusion (Person 4’s library, MultimodalWarning) are compared on the same data splits. The fusion models are produced by Person 4’s library and shared with this study.</w:t>
      </w:r>
    </w:p>
    <w:p>
      <w:pPr>
        <w:pStyle w:val="Heading2"/>
        <w:keepNext/>
        <w:spacing w:after="100" w:before="240"/>
      </w:pPr>
      <w:r>
        <w:rPr>
          <w:rFonts w:ascii="Calibri" w:cs="Calibri" w:eastAsia="Calibri" w:hAnsi="Calibri"/>
          <w:b/>
          <w:bCs/>
          <w:color w:val="8E2B2B"/>
          <w:sz w:val="25"/>
          <w:szCs w:val="25"/>
        </w:rPr>
        <w:t xml:space="preserve">6.3 Explainability comparison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8E2B2B" w:sz="4"/>
              <w:left w:val="single" w:color="8E2B2B" w:sz="4"/>
              <w:bottom w:val="single" w:color="8E2B2B" w:sz="4"/>
              <w:right w:val="single" w:color="8E2B2B" w:sz="4"/>
            </w:tcBorders>
            <w:shd w:fill="8E2B2B" w:color="auto" w:val="clear"/>
            <w:tcMar>
              <w:top w:type="dxa" w:w="70"/>
              <w:left w:type="dxa" w:w="110"/>
              <w:bottom w:type="dxa" w:w="70"/>
              <w:right w:type="dxa" w:w="110"/>
            </w:tcMar>
            <w:vAlign w:val="top"/>
          </w:tcPr>
          <w:p>
            <w:pPr>
              <w:spacing w:after="40" w:line="260" w:lineRule="auto"/>
            </w:pPr>
            <w:r>
              <w:rPr>
                <w:rFonts w:ascii="Calibri" w:cs="Calibri" w:eastAsia="Calibri" w:hAnsi="Calibri"/>
                <w:b/>
                <w:bCs/>
                <w:color w:val="FFFFFF"/>
                <w:sz w:val="19"/>
                <w:szCs w:val="19"/>
              </w:rPr>
              <w:t xml:space="preserve">Method</w:t>
            </w:r>
          </w:p>
        </w:tc>
        <w:tc>
          <w:tcPr>
            <w:tcW w:type="dxa" w:w="6026"/>
            <w:tcBorders>
              <w:top w:val="single" w:color="8E2B2B" w:sz="4"/>
              <w:left w:val="single" w:color="8E2B2B" w:sz="4"/>
              <w:bottom w:val="single" w:color="8E2B2B" w:sz="4"/>
              <w:right w:val="single" w:color="8E2B2B" w:sz="4"/>
            </w:tcBorders>
            <w:shd w:fill="8E2B2B" w:color="auto" w:val="clear"/>
            <w:tcMar>
              <w:top w:type="dxa" w:w="70"/>
              <w:left w:type="dxa" w:w="110"/>
              <w:bottom w:type="dxa" w:w="70"/>
              <w:right w:type="dxa" w:w="110"/>
            </w:tcMar>
            <w:vAlign w:val="top"/>
          </w:tcPr>
          <w:p>
            <w:pPr>
              <w:spacing w:after="40" w:line="260" w:lineRule="auto"/>
            </w:pPr>
            <w:r>
              <w:rPr>
                <w:rFonts w:ascii="Calibri" w:cs="Calibri" w:eastAsia="Calibri" w:hAnsi="Calibri"/>
                <w:b/>
                <w:bCs/>
                <w:color w:val="FFFFFF"/>
                <w:sz w:val="19"/>
                <w:szCs w:val="19"/>
              </w:rPr>
              <w:t xml:space="preserve">Applied to</w:t>
            </w:r>
          </w:p>
        </w:tc>
      </w:tr>
      <w:tr>
        <w:trPr>
          <w:cantSplit/>
        </w:trPr>
        <w:tc>
          <w:tcPr>
            <w:tcW w:type="dxa" w:w="3000"/>
            <w:tcBorders>
              <w:top w:val="single" w:color="BFBFBF" w:sz="4"/>
              <w:left w:val="single" w:color="BFBFBF" w:sz="4"/>
              <w:bottom w:val="single" w:color="BFBFBF" w:sz="4"/>
              <w:right w:val="single" w:color="BFBFBF" w:sz="4"/>
            </w:tcBorders>
            <w:shd w:fill="F8EDED" w:color="auto" w:val="clear"/>
            <w:tcMar>
              <w:top w:type="dxa" w:w="70"/>
              <w:left w:type="dxa" w:w="110"/>
              <w:bottom w:type="dxa" w:w="70"/>
              <w:right w:type="dxa" w:w="110"/>
            </w:tcMar>
            <w:vAlign w:val="top"/>
          </w:tcPr>
          <w:p>
            <w:pPr>
              <w:spacing w:after="40" w:line="260" w:lineRule="auto"/>
            </w:pPr>
            <w:r>
              <w:rPr>
                <w:rFonts w:ascii="Calibri" w:cs="Calibri" w:eastAsia="Calibri" w:hAnsi="Calibri"/>
                <w:b/>
                <w:bCs/>
                <w:sz w:val="19"/>
                <w:szCs w:val="19"/>
              </w:rPr>
              <w:t xml:space="preserve">SHAP</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0" w:lineRule="auto"/>
            </w:pPr>
            <w:r>
              <w:rPr>
                <w:rFonts w:ascii="Calibri" w:cs="Calibri" w:eastAsia="Calibri" w:hAnsi="Calibri"/>
                <w:b w:val="false"/>
                <w:bCs w:val="false"/>
                <w:sz w:val="19"/>
                <w:szCs w:val="19"/>
              </w:rPr>
              <w:t xml:space="preserve">Structured and time-series features, and modality groups.</w:t>
            </w:r>
          </w:p>
        </w:tc>
      </w:tr>
      <w:tr>
        <w:trPr>
          <w:cantSplit/>
        </w:trPr>
        <w:tc>
          <w:tcPr>
            <w:tcW w:type="dxa" w:w="3000"/>
            <w:tcBorders>
              <w:top w:val="single" w:color="BFBFBF" w:sz="4"/>
              <w:left w:val="single" w:color="BFBFBF" w:sz="4"/>
              <w:bottom w:val="single" w:color="BFBFBF" w:sz="4"/>
              <w:right w:val="single" w:color="BFBFBF" w:sz="4"/>
            </w:tcBorders>
            <w:shd w:fill="F8EDED" w:color="auto" w:val="clear"/>
            <w:tcMar>
              <w:top w:type="dxa" w:w="70"/>
              <w:left w:type="dxa" w:w="110"/>
              <w:bottom w:type="dxa" w:w="70"/>
              <w:right w:type="dxa" w:w="110"/>
            </w:tcMar>
            <w:vAlign w:val="top"/>
          </w:tcPr>
          <w:p>
            <w:pPr>
              <w:spacing w:after="40" w:line="260" w:lineRule="auto"/>
            </w:pPr>
            <w:r>
              <w:rPr>
                <w:rFonts w:ascii="Calibri" w:cs="Calibri" w:eastAsia="Calibri" w:hAnsi="Calibri"/>
                <w:b/>
                <w:bCs/>
                <w:sz w:val="19"/>
                <w:szCs w:val="19"/>
              </w:rPr>
              <w:t xml:space="preserve">Other feature attribution</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0" w:lineRule="auto"/>
            </w:pPr>
            <w:r>
              <w:rPr>
                <w:rFonts w:ascii="Calibri" w:cs="Calibri" w:eastAsia="Calibri" w:hAnsi="Calibri"/>
                <w:b w:val="false"/>
                <w:bCs w:val="false"/>
                <w:sz w:val="19"/>
                <w:szCs w:val="19"/>
              </w:rPr>
              <w:t xml:space="preserve">Alternative attribution methods on the same features, for comparison.</w:t>
            </w:r>
          </w:p>
        </w:tc>
      </w:tr>
      <w:tr>
        <w:trPr>
          <w:cantSplit/>
        </w:trPr>
        <w:tc>
          <w:tcPr>
            <w:tcW w:type="dxa" w:w="3000"/>
            <w:tcBorders>
              <w:top w:val="single" w:color="BFBFBF" w:sz="4"/>
              <w:left w:val="single" w:color="BFBFBF" w:sz="4"/>
              <w:bottom w:val="single" w:color="BFBFBF" w:sz="4"/>
              <w:right w:val="single" w:color="BFBFBF" w:sz="4"/>
            </w:tcBorders>
            <w:shd w:fill="F8EDED" w:color="auto" w:val="clear"/>
            <w:tcMar>
              <w:top w:type="dxa" w:w="70"/>
              <w:left w:type="dxa" w:w="110"/>
              <w:bottom w:type="dxa" w:w="70"/>
              <w:right w:type="dxa" w:w="110"/>
            </w:tcMar>
            <w:vAlign w:val="top"/>
          </w:tcPr>
          <w:p>
            <w:pPr>
              <w:spacing w:after="40" w:line="260" w:lineRule="auto"/>
            </w:pPr>
            <w:r>
              <w:rPr>
                <w:rFonts w:ascii="Calibri" w:cs="Calibri" w:eastAsia="Calibri" w:hAnsi="Calibri"/>
                <w:b/>
                <w:bCs/>
                <w:sz w:val="19"/>
                <w:szCs w:val="19"/>
              </w:rPr>
              <w:t xml:space="preserve">Text attribution</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0" w:lineRule="auto"/>
            </w:pPr>
            <w:r>
              <w:rPr>
                <w:rFonts w:ascii="Calibri" w:cs="Calibri" w:eastAsia="Calibri" w:hAnsi="Calibri"/>
                <w:b w:val="false"/>
                <w:bCs w:val="false"/>
                <w:sz w:val="19"/>
                <w:szCs w:val="19"/>
              </w:rPr>
              <w:t xml:space="preserve">News and text items (Component B).</w:t>
            </w:r>
          </w:p>
        </w:tc>
      </w:tr>
      <w:tr>
        <w:trPr>
          <w:cantSplit/>
        </w:trPr>
        <w:tc>
          <w:tcPr>
            <w:tcW w:type="dxa" w:w="3000"/>
            <w:tcBorders>
              <w:top w:val="single" w:color="BFBFBF" w:sz="4"/>
              <w:left w:val="single" w:color="BFBFBF" w:sz="4"/>
              <w:bottom w:val="single" w:color="BFBFBF" w:sz="4"/>
              <w:right w:val="single" w:color="BFBFBF" w:sz="4"/>
            </w:tcBorders>
            <w:shd w:fill="F8EDED" w:color="auto" w:val="clear"/>
            <w:tcMar>
              <w:top w:type="dxa" w:w="70"/>
              <w:left w:type="dxa" w:w="110"/>
              <w:bottom w:type="dxa" w:w="70"/>
              <w:right w:type="dxa" w:w="110"/>
            </w:tcMar>
            <w:vAlign w:val="top"/>
          </w:tcPr>
          <w:p>
            <w:pPr>
              <w:spacing w:after="40" w:line="260" w:lineRule="auto"/>
            </w:pPr>
            <w:r>
              <w:rPr>
                <w:rFonts w:ascii="Calibri" w:cs="Calibri" w:eastAsia="Calibri" w:hAnsi="Calibri"/>
                <w:b/>
                <w:bCs/>
                <w:sz w:val="19"/>
                <w:szCs w:val="19"/>
              </w:rPr>
              <w:t xml:space="preserve">Cross-modal attribution</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0" w:lineRule="auto"/>
            </w:pPr>
            <w:r>
              <w:rPr>
                <w:rFonts w:ascii="Calibri" w:cs="Calibri" w:eastAsia="Calibri" w:hAnsi="Calibri"/>
                <w:b w:val="false"/>
                <w:bCs w:val="false"/>
                <w:sz w:val="19"/>
                <w:szCs w:val="19"/>
              </w:rPr>
              <w:t xml:space="preserve">Modality-level contribution (Component D).</w:t>
            </w:r>
          </w:p>
        </w:tc>
      </w:tr>
    </w:tbl>
    <w:p>
      <w:pPr>
        <w:pStyle w:val="Heading2"/>
        <w:keepNext/>
        <w:spacing w:after="100" w:before="240"/>
      </w:pPr>
      <w:r>
        <w:rPr>
          <w:rFonts w:ascii="Calibri" w:cs="Calibri" w:eastAsia="Calibri" w:hAnsi="Calibri"/>
          <w:b/>
          <w:bCs/>
          <w:color w:val="8E2B2B"/>
          <w:sz w:val="25"/>
          <w:szCs w:val="25"/>
        </w:rPr>
        <w:t xml:space="preserve">6.4 Uncertainty comparison</w:t>
      </w:r>
    </w:p>
    <w:p>
      <w:pPr>
        <w:spacing w:after="120" w:before="0" w:line="288" w:lineRule="auto"/>
      </w:pPr>
      <w:r>
        <w:rPr>
          <w:rFonts w:ascii="Calibri" w:cs="Calibri" w:eastAsia="Calibri" w:hAnsi="Calibri"/>
          <w:sz w:val="21"/>
          <w:szCs w:val="21"/>
        </w:rPr>
        <w:t xml:space="preserve">Ensemble, Monte Carlo Dropout, calibration methods and conformal prediction are evaluated on the same predictions and compared with the calibration and coverage metrics of Section 7.</w:t>
      </w:r>
    </w:p>
    <w:p>
      <w:pPr>
        <w:pStyle w:val="Heading2"/>
        <w:keepNext/>
        <w:spacing w:after="100" w:before="240"/>
      </w:pPr>
      <w:r>
        <w:rPr>
          <w:rFonts w:ascii="Calibri" w:cs="Calibri" w:eastAsia="Calibri" w:hAnsi="Calibri"/>
          <w:b/>
          <w:bCs/>
          <w:color w:val="8E2B2B"/>
          <w:sz w:val="25"/>
          <w:szCs w:val="25"/>
        </w:rPr>
        <w:t xml:space="preserve">6.5 Ablation of the proposed module</w:t>
      </w:r>
    </w:p>
    <w:p>
      <w:pPr>
        <w:spacing w:after="120" w:before="0" w:line="288" w:lineRule="auto"/>
      </w:pPr>
      <w:r>
        <w:rPr>
          <w:rFonts w:ascii="Calibri" w:cs="Calibri" w:eastAsia="Calibri" w:hAnsi="Calibri"/>
          <w:sz w:val="21"/>
          <w:szCs w:val="21"/>
        </w:rPr>
        <w:t xml:space="preserve">To show which parts of the contribution actually matter, the full module is compared against versions with a component removed:</w:t>
      </w:r>
    </w:p>
    <w:p>
      <w:pPr>
        <w:pStyle w:val="ListParagraph"/>
        <w:numPr>
          <w:ilvl w:val="0"/>
          <w:numId w:val="2"/>
        </w:numPr>
        <w:spacing w:after="60" w:line="276" w:lineRule="auto"/>
      </w:pPr>
      <w:r>
        <w:rPr>
          <w:rFonts w:ascii="Calibri" w:cs="Calibri" w:eastAsia="Calibri" w:hAnsi="Calibri"/>
          <w:sz w:val="21"/>
          <w:szCs w:val="21"/>
        </w:rPr>
        <w:t xml:space="preserve">without cross-modal attribution (D)</w:t>
      </w:r>
    </w:p>
    <w:p>
      <w:pPr>
        <w:pStyle w:val="ListParagraph"/>
        <w:numPr>
          <w:ilvl w:val="0"/>
          <w:numId w:val="2"/>
        </w:numPr>
        <w:spacing w:after="60" w:line="276" w:lineRule="auto"/>
      </w:pPr>
      <w:r>
        <w:rPr>
          <w:rFonts w:ascii="Calibri" w:cs="Calibri" w:eastAsia="Calibri" w:hAnsi="Calibri"/>
          <w:sz w:val="21"/>
          <w:szCs w:val="21"/>
        </w:rPr>
        <w:t xml:space="preserve">without evidence consistency verification (F)</w:t>
      </w:r>
    </w:p>
    <w:p>
      <w:pPr>
        <w:pStyle w:val="ListParagraph"/>
        <w:numPr>
          <w:ilvl w:val="0"/>
          <w:numId w:val="2"/>
        </w:numPr>
        <w:spacing w:after="60" w:line="276" w:lineRule="auto"/>
      </w:pPr>
      <w:r>
        <w:rPr>
          <w:rFonts w:ascii="Calibri" w:cs="Calibri" w:eastAsia="Calibri" w:hAnsi="Calibri"/>
          <w:sz w:val="21"/>
          <w:szCs w:val="21"/>
        </w:rPr>
        <w:t xml:space="preserve">with each uncertainty method replaced in turn</w:t>
      </w:r>
    </w:p>
    <w:p>
      <w:pPr>
        <w:pStyle w:val="ListParagraph"/>
        <w:numPr>
          <w:ilvl w:val="0"/>
          <w:numId w:val="2"/>
        </w:numPr>
        <w:spacing w:after="60" w:line="276" w:lineRule="auto"/>
      </w:pPr>
      <w:r>
        <w:rPr>
          <w:rFonts w:ascii="Calibri" w:cs="Calibri" w:eastAsia="Calibri" w:hAnsi="Calibri"/>
          <w:sz w:val="21"/>
          <w:szCs w:val="21"/>
        </w:rPr>
        <w:t xml:space="preserve">with each attribution method replaced in turn</w:t>
      </w:r>
    </w:p>
    <w:p>
      <w:pPr>
        <w:pStyle w:val="Heading2"/>
        <w:keepNext/>
        <w:spacing w:after="100" w:before="240"/>
      </w:pPr>
      <w:r>
        <w:rPr>
          <w:rFonts w:ascii="Calibri" w:cs="Calibri" w:eastAsia="Calibri" w:hAnsi="Calibri"/>
          <w:b/>
          <w:bCs/>
          <w:color w:val="8E2B2B"/>
          <w:sz w:val="25"/>
          <w:szCs w:val="25"/>
        </w:rPr>
        <w:t xml:space="preserve">6.6 Evaluation protocol</w:t>
      </w:r>
    </w:p>
    <w:p>
      <w:pPr>
        <w:pStyle w:val="ListParagraph"/>
        <w:numPr>
          <w:ilvl w:val="0"/>
          <w:numId w:val="2"/>
        </w:numPr>
        <w:spacing w:after="60" w:line="276" w:lineRule="auto"/>
      </w:pPr>
      <w:r>
        <w:rPr>
          <w:rFonts w:ascii="Calibri" w:cs="Calibri" w:eastAsia="Calibri" w:hAnsi="Calibri"/>
          <w:b/>
          <w:bCs/>
          <w:sz w:val="21"/>
          <w:szCs w:val="21"/>
        </w:rPr>
        <w:t xml:space="preserve">Time-based splits:</w:t>
      </w:r>
      <w:r>
        <w:rPr>
          <w:rFonts w:ascii="Calibri" w:cs="Calibri" w:eastAsia="Calibri" w:hAnsi="Calibri"/>
          <w:sz w:val="21"/>
          <w:szCs w:val="21"/>
        </w:rPr>
        <w:t xml:space="preserve"> training data precedes validation and test data, so the model never sees the future.</w:t>
      </w:r>
    </w:p>
    <w:p>
      <w:pPr>
        <w:pStyle w:val="ListParagraph"/>
        <w:numPr>
          <w:ilvl w:val="0"/>
          <w:numId w:val="2"/>
        </w:numPr>
        <w:spacing w:after="60" w:line="276" w:lineRule="auto"/>
      </w:pPr>
      <w:r>
        <w:rPr>
          <w:rFonts w:ascii="Calibri" w:cs="Calibri" w:eastAsia="Calibri" w:hAnsi="Calibri"/>
          <w:b/>
          <w:bCs/>
          <w:sz w:val="21"/>
          <w:szCs w:val="21"/>
        </w:rPr>
        <w:t xml:space="preserve">Leakage control:</w:t>
      </w:r>
      <w:r>
        <w:rPr>
          <w:rFonts w:ascii="Calibri" w:cs="Calibri" w:eastAsia="Calibri" w:hAnsi="Calibri"/>
          <w:sz w:val="21"/>
          <w:szCs w:val="21"/>
        </w:rPr>
        <w:t xml:space="preserve"> news and events dated after the prediction time are excluded from the input.</w:t>
      </w:r>
    </w:p>
    <w:p>
      <w:pPr>
        <w:pStyle w:val="ListParagraph"/>
        <w:numPr>
          <w:ilvl w:val="0"/>
          <w:numId w:val="2"/>
        </w:numPr>
        <w:spacing w:after="60" w:line="276" w:lineRule="auto"/>
      </w:pPr>
      <w:r>
        <w:rPr>
          <w:rFonts w:ascii="Calibri" w:cs="Calibri" w:eastAsia="Calibri" w:hAnsi="Calibri"/>
          <w:b/>
          <w:bCs/>
          <w:sz w:val="21"/>
          <w:szCs w:val="21"/>
        </w:rPr>
        <w:t xml:space="preserve">Repeated runs:</w:t>
      </w:r>
      <w:r>
        <w:rPr>
          <w:rFonts w:ascii="Calibri" w:cs="Calibri" w:eastAsia="Calibri" w:hAnsi="Calibri"/>
          <w:sz w:val="21"/>
          <w:szCs w:val="21"/>
        </w:rPr>
        <w:t xml:space="preserve"> multiple random seeds, with variability reported.</w:t>
      </w:r>
    </w:p>
    <w:p>
      <w:pPr>
        <w:pStyle w:val="ListParagraph"/>
        <w:numPr>
          <w:ilvl w:val="0"/>
          <w:numId w:val="2"/>
        </w:numPr>
        <w:spacing w:after="60" w:line="276" w:lineRule="auto"/>
      </w:pPr>
      <w:r>
        <w:rPr>
          <w:rFonts w:ascii="Calibri" w:cs="Calibri" w:eastAsia="Calibri" w:hAnsi="Calibri"/>
          <w:b/>
          <w:bCs/>
          <w:sz w:val="21"/>
          <w:szCs w:val="21"/>
        </w:rPr>
        <w:t xml:space="preserve">Significance:</w:t>
      </w:r>
      <w:r>
        <w:rPr>
          <w:rFonts w:ascii="Calibri" w:cs="Calibri" w:eastAsia="Calibri" w:hAnsi="Calibri"/>
          <w:sz w:val="21"/>
          <w:szCs w:val="21"/>
        </w:rPr>
        <w:t xml:space="preserve"> appropriate statistical tests when comparing methods.</w:t>
      </w:r>
    </w:p>
    <w:p>
      <w:pPr>
        <w:pStyle w:val="ListParagraph"/>
        <w:numPr>
          <w:ilvl w:val="0"/>
          <w:numId w:val="2"/>
        </w:numPr>
        <w:spacing w:after="60" w:line="276" w:lineRule="auto"/>
      </w:pPr>
      <w:r>
        <w:rPr>
          <w:rFonts w:ascii="Calibri" w:cs="Calibri" w:eastAsia="Calibri" w:hAnsi="Calibri"/>
          <w:b/>
          <w:bCs/>
          <w:sz w:val="21"/>
          <w:szCs w:val="21"/>
        </w:rPr>
        <w:t xml:space="preserve">Robustness:</w:t>
      </w:r>
      <w:r>
        <w:rPr>
          <w:rFonts w:ascii="Calibri" w:cs="Calibri" w:eastAsia="Calibri" w:hAnsi="Calibri"/>
          <w:sz w:val="21"/>
          <w:szCs w:val="21"/>
        </w:rPr>
        <w:t xml:space="preserve"> explanation stability is measured under small input perturbations (RQ5).</w:t>
      </w:r>
    </w:p>
    <w:p>
      <w:pPr>
        <w:pStyle w:val="Heading1"/>
        <w:keepNext/>
        <w:pBdr>
          <w:bottom w:val="single" w:color="8E2B2B" w:sz="8" w:space="3"/>
        </w:pBdr>
        <w:spacing w:after="140" w:before="360"/>
      </w:pPr>
      <w:r>
        <w:rPr>
          <w:rFonts w:ascii="Calibri" w:cs="Calibri" w:eastAsia="Calibri" w:hAnsi="Calibri"/>
          <w:b/>
          <w:bCs/>
          <w:color w:val="8E2B2B"/>
          <w:sz w:val="30"/>
          <w:szCs w:val="30"/>
        </w:rPr>
        <w:t xml:space="preserve">7. Evaluation Metrics</w:t>
      </w:r>
    </w:p>
    <w:p>
      <w:pPr>
        <w:spacing w:after="120" w:before="0" w:line="288" w:lineRule="auto"/>
      </w:pPr>
      <w:r>
        <w:rPr>
          <w:rFonts w:ascii="Calibri" w:cs="Calibri" w:eastAsia="Calibri" w:hAnsi="Calibri"/>
          <w:sz w:val="21"/>
          <w:szCs w:val="21"/>
        </w:rPr>
        <w:t xml:space="preserve">Predictive performance and explanation quality are reported separately. Explainability is evaluated </w:t>
      </w:r>
      <w:r>
        <w:rPr>
          <w:rFonts w:ascii="Calibri" w:cs="Calibri" w:eastAsia="Calibri" w:hAnsi="Calibri"/>
          <w:b/>
          <w:bCs/>
          <w:sz w:val="21"/>
          <w:szCs w:val="21"/>
        </w:rPr>
        <w:t xml:space="preserve">quantitatively wherever possible</w:t>
      </w:r>
      <w:r>
        <w:rPr>
          <w:rFonts w:ascii="Calibri" w:cs="Calibri" w:eastAsia="Calibri" w:hAnsi="Calibri"/>
          <w:sz w:val="21"/>
          <w:szCs w:val="21"/>
        </w:rPr>
        <w:t xml:space="preserve">, not only through example screenshots.</w:t>
      </w:r>
    </w:p>
    <w:p>
      <w:pPr>
        <w:pStyle w:val="Heading2"/>
        <w:keepNext/>
        <w:spacing w:after="100" w:before="240"/>
      </w:pPr>
      <w:r>
        <w:rPr>
          <w:rFonts w:ascii="Calibri" w:cs="Calibri" w:eastAsia="Calibri" w:hAnsi="Calibri"/>
          <w:b/>
          <w:bCs/>
          <w:color w:val="8E2B2B"/>
          <w:sz w:val="25"/>
          <w:szCs w:val="25"/>
        </w:rPr>
        <w:t xml:space="preserve">7.1 Prediction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cantSplit/>
          <w:tblHeader/>
        </w:trPr>
        <w:tc>
          <w:tcPr>
            <w:tcW w:type="dxa" w:w="2800"/>
            <w:tcBorders>
              <w:top w:val="single" w:color="8E2B2B" w:sz="4"/>
              <w:left w:val="single" w:color="8E2B2B" w:sz="4"/>
              <w:bottom w:val="single" w:color="8E2B2B" w:sz="4"/>
              <w:right w:val="single" w:color="8E2B2B" w:sz="4"/>
            </w:tcBorders>
            <w:shd w:fill="8E2B2B" w:color="auto" w:val="clear"/>
            <w:tcMar>
              <w:top w:type="dxa" w:w="70"/>
              <w:left w:type="dxa" w:w="110"/>
              <w:bottom w:type="dxa" w:w="70"/>
              <w:right w:type="dxa" w:w="110"/>
            </w:tcMar>
            <w:vAlign w:val="top"/>
          </w:tcPr>
          <w:p>
            <w:pPr>
              <w:spacing w:after="40" w:line="260" w:lineRule="auto"/>
            </w:pPr>
            <w:r>
              <w:rPr>
                <w:rFonts w:ascii="Calibri" w:cs="Calibri" w:eastAsia="Calibri" w:hAnsi="Calibri"/>
                <w:b/>
                <w:bCs/>
                <w:color w:val="FFFFFF"/>
                <w:sz w:val="19"/>
                <w:szCs w:val="19"/>
              </w:rPr>
              <w:t xml:space="preserve">Metric</w:t>
            </w:r>
          </w:p>
        </w:tc>
        <w:tc>
          <w:tcPr>
            <w:tcW w:type="dxa" w:w="6226"/>
            <w:tcBorders>
              <w:top w:val="single" w:color="8E2B2B" w:sz="4"/>
              <w:left w:val="single" w:color="8E2B2B" w:sz="4"/>
              <w:bottom w:val="single" w:color="8E2B2B" w:sz="4"/>
              <w:right w:val="single" w:color="8E2B2B" w:sz="4"/>
            </w:tcBorders>
            <w:shd w:fill="8E2B2B" w:color="auto" w:val="clear"/>
            <w:tcMar>
              <w:top w:type="dxa" w:w="70"/>
              <w:left w:type="dxa" w:w="110"/>
              <w:bottom w:type="dxa" w:w="70"/>
              <w:right w:type="dxa" w:w="110"/>
            </w:tcMar>
            <w:vAlign w:val="top"/>
          </w:tcPr>
          <w:p>
            <w:pPr>
              <w:spacing w:after="40" w:line="260" w:lineRule="auto"/>
            </w:pPr>
            <w:r>
              <w:rPr>
                <w:rFonts w:ascii="Calibri" w:cs="Calibri" w:eastAsia="Calibri" w:hAnsi="Calibri"/>
                <w:b/>
                <w:bCs/>
                <w:color w:val="FFFFFF"/>
                <w:sz w:val="19"/>
                <w:szCs w:val="19"/>
              </w:rPr>
              <w:t xml:space="preserve">Note</w:t>
            </w:r>
          </w:p>
        </w:tc>
      </w:tr>
      <w:tr>
        <w:trPr>
          <w:cantSplit/>
        </w:trPr>
        <w:tc>
          <w:tcPr>
            <w:tcW w:type="dxa" w:w="2800"/>
            <w:tcBorders>
              <w:top w:val="single" w:color="BFBFBF" w:sz="4"/>
              <w:left w:val="single" w:color="BFBFBF" w:sz="4"/>
              <w:bottom w:val="single" w:color="BFBFBF" w:sz="4"/>
              <w:right w:val="single" w:color="BFBFBF" w:sz="4"/>
            </w:tcBorders>
            <w:shd w:fill="F8EDED" w:color="auto" w:val="clear"/>
            <w:tcMar>
              <w:top w:type="dxa" w:w="70"/>
              <w:left w:type="dxa" w:w="110"/>
              <w:bottom w:type="dxa" w:w="70"/>
              <w:right w:type="dxa" w:w="110"/>
            </w:tcMar>
            <w:vAlign w:val="top"/>
          </w:tcPr>
          <w:p>
            <w:pPr>
              <w:spacing w:after="40" w:line="260" w:lineRule="auto"/>
            </w:pPr>
            <w:r>
              <w:rPr>
                <w:rFonts w:ascii="Calibri" w:cs="Calibri" w:eastAsia="Calibri" w:hAnsi="Calibri"/>
                <w:b/>
                <w:bCs/>
                <w:sz w:val="19"/>
                <w:szCs w:val="19"/>
              </w:rPr>
              <w:t xml:space="preserve">Accuracy, Precision, Recall, F1-score</w:t>
            </w:r>
          </w:p>
        </w:tc>
        <w:tc>
          <w:tcPr>
            <w:tcW w:type="dxa" w:w="6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0" w:lineRule="auto"/>
            </w:pPr>
            <w:r>
              <w:rPr>
                <w:rFonts w:ascii="Calibri" w:cs="Calibri" w:eastAsia="Calibri" w:hAnsi="Calibri"/>
                <w:b w:val="false"/>
                <w:bCs w:val="false"/>
                <w:sz w:val="19"/>
                <w:szCs w:val="19"/>
              </w:rPr>
              <w:t xml:space="preserve">Reported per class where classes are imbalanced.</w:t>
            </w:r>
          </w:p>
        </w:tc>
      </w:tr>
      <w:tr>
        <w:trPr>
          <w:cantSplit/>
        </w:trPr>
        <w:tc>
          <w:tcPr>
            <w:tcW w:type="dxa" w:w="2800"/>
            <w:tcBorders>
              <w:top w:val="single" w:color="BFBFBF" w:sz="4"/>
              <w:left w:val="single" w:color="BFBFBF" w:sz="4"/>
              <w:bottom w:val="single" w:color="BFBFBF" w:sz="4"/>
              <w:right w:val="single" w:color="BFBFBF" w:sz="4"/>
            </w:tcBorders>
            <w:shd w:fill="F8EDED" w:color="auto" w:val="clear"/>
            <w:tcMar>
              <w:top w:type="dxa" w:w="70"/>
              <w:left w:type="dxa" w:w="110"/>
              <w:bottom w:type="dxa" w:w="70"/>
              <w:right w:type="dxa" w:w="110"/>
            </w:tcMar>
            <w:vAlign w:val="top"/>
          </w:tcPr>
          <w:p>
            <w:pPr>
              <w:spacing w:after="40" w:line="260" w:lineRule="auto"/>
            </w:pPr>
            <w:r>
              <w:rPr>
                <w:rFonts w:ascii="Calibri" w:cs="Calibri" w:eastAsia="Calibri" w:hAnsi="Calibri"/>
                <w:b/>
                <w:bCs/>
                <w:sz w:val="19"/>
                <w:szCs w:val="19"/>
              </w:rPr>
              <w:t xml:space="preserve">AUROC, AUPRC</w:t>
            </w:r>
          </w:p>
        </w:tc>
        <w:tc>
          <w:tcPr>
            <w:tcW w:type="dxa" w:w="6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0" w:lineRule="auto"/>
            </w:pPr>
            <w:r>
              <w:rPr>
                <w:rFonts w:ascii="Calibri" w:cs="Calibri" w:eastAsia="Calibri" w:hAnsi="Calibri"/>
                <w:b w:val="false"/>
                <w:bCs w:val="false"/>
                <w:sz w:val="19"/>
                <w:szCs w:val="19"/>
              </w:rPr>
              <w:t xml:space="preserve">AUPRC is especially relevant because disruptions are rare events.</w:t>
            </w:r>
          </w:p>
        </w:tc>
      </w:tr>
      <w:tr>
        <w:trPr>
          <w:cantSplit/>
        </w:trPr>
        <w:tc>
          <w:tcPr>
            <w:tcW w:type="dxa" w:w="2800"/>
            <w:tcBorders>
              <w:top w:val="single" w:color="BFBFBF" w:sz="4"/>
              <w:left w:val="single" w:color="BFBFBF" w:sz="4"/>
              <w:bottom w:val="single" w:color="BFBFBF" w:sz="4"/>
              <w:right w:val="single" w:color="BFBFBF" w:sz="4"/>
            </w:tcBorders>
            <w:shd w:fill="F8EDED" w:color="auto" w:val="clear"/>
            <w:tcMar>
              <w:top w:type="dxa" w:w="70"/>
              <w:left w:type="dxa" w:w="110"/>
              <w:bottom w:type="dxa" w:w="70"/>
              <w:right w:type="dxa" w:w="110"/>
            </w:tcMar>
            <w:vAlign w:val="top"/>
          </w:tcPr>
          <w:p>
            <w:pPr>
              <w:spacing w:after="40" w:line="260" w:lineRule="auto"/>
            </w:pPr>
            <w:r>
              <w:rPr>
                <w:rFonts w:ascii="Calibri" w:cs="Calibri" w:eastAsia="Calibri" w:hAnsi="Calibri"/>
                <w:b/>
                <w:bCs/>
                <w:sz w:val="19"/>
                <w:szCs w:val="19"/>
              </w:rPr>
              <w:t xml:space="preserve">False Alarm Rate</w:t>
            </w:r>
          </w:p>
        </w:tc>
        <w:tc>
          <w:tcPr>
            <w:tcW w:type="dxa" w:w="6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0" w:lineRule="auto"/>
            </w:pPr>
            <w:r>
              <w:rPr>
                <w:rFonts w:ascii="Calibri" w:cs="Calibri" w:eastAsia="Calibri" w:hAnsi="Calibri"/>
                <w:b w:val="false"/>
                <w:bCs w:val="false"/>
                <w:sz w:val="19"/>
                <w:szCs w:val="19"/>
              </w:rPr>
              <w:t xml:space="preserve">Share of raised alerts that do not correspond to a disruption; central to operational usefulness.</w:t>
            </w:r>
          </w:p>
        </w:tc>
      </w:tr>
      <w:tr>
        <w:trPr>
          <w:cantSplit/>
        </w:trPr>
        <w:tc>
          <w:tcPr>
            <w:tcW w:type="dxa" w:w="2800"/>
            <w:tcBorders>
              <w:top w:val="single" w:color="BFBFBF" w:sz="4"/>
              <w:left w:val="single" w:color="BFBFBF" w:sz="4"/>
              <w:bottom w:val="single" w:color="BFBFBF" w:sz="4"/>
              <w:right w:val="single" w:color="BFBFBF" w:sz="4"/>
            </w:tcBorders>
            <w:shd w:fill="F8EDED" w:color="auto" w:val="clear"/>
            <w:tcMar>
              <w:top w:type="dxa" w:w="70"/>
              <w:left w:type="dxa" w:w="110"/>
              <w:bottom w:type="dxa" w:w="70"/>
              <w:right w:type="dxa" w:w="110"/>
            </w:tcMar>
            <w:vAlign w:val="top"/>
          </w:tcPr>
          <w:p>
            <w:pPr>
              <w:spacing w:after="40" w:line="260" w:lineRule="auto"/>
            </w:pPr>
            <w:r>
              <w:rPr>
                <w:rFonts w:ascii="Calibri" w:cs="Calibri" w:eastAsia="Calibri" w:hAnsi="Calibri"/>
                <w:b/>
                <w:bCs/>
                <w:sz w:val="19"/>
                <w:szCs w:val="19"/>
              </w:rPr>
              <w:t xml:space="preserve">Early-warning lead time</w:t>
            </w:r>
          </w:p>
        </w:tc>
        <w:tc>
          <w:tcPr>
            <w:tcW w:type="dxa" w:w="6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0" w:lineRule="auto"/>
            </w:pPr>
            <w:r>
              <w:rPr>
                <w:rFonts w:ascii="Calibri" w:cs="Calibri" w:eastAsia="Calibri" w:hAnsi="Calibri"/>
                <w:b w:val="false"/>
                <w:bCs w:val="false"/>
                <w:sz w:val="19"/>
                <w:szCs w:val="19"/>
              </w:rPr>
              <w:t xml:space="preserve">Time between the first alert above threshold and the onset of the disruption.</w:t>
            </w:r>
          </w:p>
        </w:tc>
      </w:tr>
    </w:tbl>
    <w:p>
      <w:pPr>
        <w:pStyle w:val="Heading2"/>
        <w:keepNext/>
        <w:spacing w:after="100" w:before="240"/>
      </w:pPr>
      <w:r>
        <w:rPr>
          <w:rFonts w:ascii="Calibri" w:cs="Calibri" w:eastAsia="Calibri" w:hAnsi="Calibri"/>
          <w:b/>
          <w:bCs/>
          <w:color w:val="8E2B2B"/>
          <w:sz w:val="25"/>
          <w:szCs w:val="25"/>
        </w:rPr>
        <w:t xml:space="preserve">7.2 Calibration and uncertainty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cantSplit/>
          <w:tblHeader/>
        </w:trPr>
        <w:tc>
          <w:tcPr>
            <w:tcW w:type="dxa" w:w="2800"/>
            <w:tcBorders>
              <w:top w:val="single" w:color="8E2B2B" w:sz="4"/>
              <w:left w:val="single" w:color="8E2B2B" w:sz="4"/>
              <w:bottom w:val="single" w:color="8E2B2B" w:sz="4"/>
              <w:right w:val="single" w:color="8E2B2B" w:sz="4"/>
            </w:tcBorders>
            <w:shd w:fill="8E2B2B" w:color="auto" w:val="clear"/>
            <w:tcMar>
              <w:top w:type="dxa" w:w="70"/>
              <w:left w:type="dxa" w:w="110"/>
              <w:bottom w:type="dxa" w:w="70"/>
              <w:right w:type="dxa" w:w="110"/>
            </w:tcMar>
            <w:vAlign w:val="top"/>
          </w:tcPr>
          <w:p>
            <w:pPr>
              <w:spacing w:after="40" w:line="260" w:lineRule="auto"/>
            </w:pPr>
            <w:r>
              <w:rPr>
                <w:rFonts w:ascii="Calibri" w:cs="Calibri" w:eastAsia="Calibri" w:hAnsi="Calibri"/>
                <w:b/>
                <w:bCs/>
                <w:color w:val="FFFFFF"/>
                <w:sz w:val="19"/>
                <w:szCs w:val="19"/>
              </w:rPr>
              <w:t xml:space="preserve">Metric</w:t>
            </w:r>
          </w:p>
        </w:tc>
        <w:tc>
          <w:tcPr>
            <w:tcW w:type="dxa" w:w="6226"/>
            <w:tcBorders>
              <w:top w:val="single" w:color="8E2B2B" w:sz="4"/>
              <w:left w:val="single" w:color="8E2B2B" w:sz="4"/>
              <w:bottom w:val="single" w:color="8E2B2B" w:sz="4"/>
              <w:right w:val="single" w:color="8E2B2B" w:sz="4"/>
            </w:tcBorders>
            <w:shd w:fill="8E2B2B" w:color="auto" w:val="clear"/>
            <w:tcMar>
              <w:top w:type="dxa" w:w="70"/>
              <w:left w:type="dxa" w:w="110"/>
              <w:bottom w:type="dxa" w:w="70"/>
              <w:right w:type="dxa" w:w="110"/>
            </w:tcMar>
            <w:vAlign w:val="top"/>
          </w:tcPr>
          <w:p>
            <w:pPr>
              <w:spacing w:after="40" w:line="260" w:lineRule="auto"/>
            </w:pPr>
            <w:r>
              <w:rPr>
                <w:rFonts w:ascii="Calibri" w:cs="Calibri" w:eastAsia="Calibri" w:hAnsi="Calibri"/>
                <w:b/>
                <w:bCs/>
                <w:color w:val="FFFFFF"/>
                <w:sz w:val="19"/>
                <w:szCs w:val="19"/>
              </w:rPr>
              <w:t xml:space="preserve">Note</w:t>
            </w:r>
          </w:p>
        </w:tc>
      </w:tr>
      <w:tr>
        <w:trPr>
          <w:cantSplit/>
        </w:trPr>
        <w:tc>
          <w:tcPr>
            <w:tcW w:type="dxa" w:w="2800"/>
            <w:tcBorders>
              <w:top w:val="single" w:color="BFBFBF" w:sz="4"/>
              <w:left w:val="single" w:color="BFBFBF" w:sz="4"/>
              <w:bottom w:val="single" w:color="BFBFBF" w:sz="4"/>
              <w:right w:val="single" w:color="BFBFBF" w:sz="4"/>
            </w:tcBorders>
            <w:shd w:fill="F8EDED" w:color="auto" w:val="clear"/>
            <w:tcMar>
              <w:top w:type="dxa" w:w="70"/>
              <w:left w:type="dxa" w:w="110"/>
              <w:bottom w:type="dxa" w:w="70"/>
              <w:right w:type="dxa" w:w="110"/>
            </w:tcMar>
            <w:vAlign w:val="top"/>
          </w:tcPr>
          <w:p>
            <w:pPr>
              <w:spacing w:after="40" w:line="260" w:lineRule="auto"/>
            </w:pPr>
            <w:r>
              <w:rPr>
                <w:rFonts w:ascii="Calibri" w:cs="Calibri" w:eastAsia="Calibri" w:hAnsi="Calibri"/>
                <w:b/>
                <w:bCs/>
                <w:sz w:val="19"/>
                <w:szCs w:val="19"/>
              </w:rPr>
              <w:t xml:space="preserve">Expected Calibration Error (ECE)</w:t>
            </w:r>
          </w:p>
        </w:tc>
        <w:tc>
          <w:tcPr>
            <w:tcW w:type="dxa" w:w="6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0" w:lineRule="auto"/>
            </w:pPr>
            <w:r>
              <w:rPr>
                <w:rFonts w:ascii="Calibri" w:cs="Calibri" w:eastAsia="Calibri" w:hAnsi="Calibri"/>
                <w:b w:val="false"/>
                <w:bCs w:val="false"/>
                <w:sz w:val="19"/>
                <w:szCs w:val="19"/>
              </w:rPr>
              <w:t xml:space="preserve">Gap between predicted confidence and observed frequency.</w:t>
            </w:r>
          </w:p>
        </w:tc>
      </w:tr>
      <w:tr>
        <w:trPr>
          <w:cantSplit/>
        </w:trPr>
        <w:tc>
          <w:tcPr>
            <w:tcW w:type="dxa" w:w="2800"/>
            <w:tcBorders>
              <w:top w:val="single" w:color="BFBFBF" w:sz="4"/>
              <w:left w:val="single" w:color="BFBFBF" w:sz="4"/>
              <w:bottom w:val="single" w:color="BFBFBF" w:sz="4"/>
              <w:right w:val="single" w:color="BFBFBF" w:sz="4"/>
            </w:tcBorders>
            <w:shd w:fill="F8EDED" w:color="auto" w:val="clear"/>
            <w:tcMar>
              <w:top w:type="dxa" w:w="70"/>
              <w:left w:type="dxa" w:w="110"/>
              <w:bottom w:type="dxa" w:w="70"/>
              <w:right w:type="dxa" w:w="110"/>
            </w:tcMar>
            <w:vAlign w:val="top"/>
          </w:tcPr>
          <w:p>
            <w:pPr>
              <w:spacing w:after="40" w:line="260" w:lineRule="auto"/>
            </w:pPr>
            <w:r>
              <w:rPr>
                <w:rFonts w:ascii="Calibri" w:cs="Calibri" w:eastAsia="Calibri" w:hAnsi="Calibri"/>
                <w:b/>
                <w:bCs/>
                <w:sz w:val="19"/>
                <w:szCs w:val="19"/>
              </w:rPr>
              <w:t xml:space="preserve">Brier Score</w:t>
            </w:r>
          </w:p>
        </w:tc>
        <w:tc>
          <w:tcPr>
            <w:tcW w:type="dxa" w:w="6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0" w:lineRule="auto"/>
            </w:pPr>
            <w:r>
              <w:rPr>
                <w:rFonts w:ascii="Calibri" w:cs="Calibri" w:eastAsia="Calibri" w:hAnsi="Calibri"/>
                <w:b w:val="false"/>
                <w:bCs w:val="false"/>
                <w:sz w:val="19"/>
                <w:szCs w:val="19"/>
              </w:rPr>
              <w:t xml:space="preserve">Accuracy of probabilistic predictions.</w:t>
            </w:r>
          </w:p>
        </w:tc>
      </w:tr>
      <w:tr>
        <w:trPr>
          <w:cantSplit/>
        </w:trPr>
        <w:tc>
          <w:tcPr>
            <w:tcW w:type="dxa" w:w="2800"/>
            <w:tcBorders>
              <w:top w:val="single" w:color="BFBFBF" w:sz="4"/>
              <w:left w:val="single" w:color="BFBFBF" w:sz="4"/>
              <w:bottom w:val="single" w:color="BFBFBF" w:sz="4"/>
              <w:right w:val="single" w:color="BFBFBF" w:sz="4"/>
            </w:tcBorders>
            <w:shd w:fill="F8EDED" w:color="auto" w:val="clear"/>
            <w:tcMar>
              <w:top w:type="dxa" w:w="70"/>
              <w:left w:type="dxa" w:w="110"/>
              <w:bottom w:type="dxa" w:w="70"/>
              <w:right w:type="dxa" w:w="110"/>
            </w:tcMar>
            <w:vAlign w:val="top"/>
          </w:tcPr>
          <w:p>
            <w:pPr>
              <w:spacing w:after="40" w:line="260" w:lineRule="auto"/>
            </w:pPr>
            <w:r>
              <w:rPr>
                <w:rFonts w:ascii="Calibri" w:cs="Calibri" w:eastAsia="Calibri" w:hAnsi="Calibri"/>
                <w:b/>
                <w:bCs/>
                <w:sz w:val="19"/>
                <w:szCs w:val="19"/>
              </w:rPr>
              <w:t xml:space="preserve">Conformal coverage / interval width</w:t>
            </w:r>
          </w:p>
        </w:tc>
        <w:tc>
          <w:tcPr>
            <w:tcW w:type="dxa" w:w="6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0" w:lineRule="auto"/>
            </w:pPr>
            <w:r>
              <w:rPr>
                <w:rFonts w:ascii="Calibri" w:cs="Calibri" w:eastAsia="Calibri" w:hAnsi="Calibri"/>
                <w:b w:val="false"/>
                <w:bCs w:val="false"/>
                <w:sz w:val="19"/>
                <w:szCs w:val="19"/>
              </w:rPr>
              <w:t xml:space="preserve">Where applicable: empirical coverage against the target, and the size of the prediction sets.</w:t>
            </w:r>
          </w:p>
        </w:tc>
      </w:tr>
    </w:tbl>
    <w:p>
      <w:pPr>
        <w:pStyle w:val="Heading2"/>
        <w:keepNext/>
        <w:spacing w:after="100" w:before="240"/>
      </w:pPr>
      <w:r>
        <w:rPr>
          <w:rFonts w:ascii="Calibri" w:cs="Calibri" w:eastAsia="Calibri" w:hAnsi="Calibri"/>
          <w:b/>
          <w:bCs/>
          <w:color w:val="8E2B2B"/>
          <w:sz w:val="25"/>
          <w:szCs w:val="25"/>
        </w:rPr>
        <w:t xml:space="preserve">7.3 Explainability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cantSplit/>
          <w:tblHeader/>
        </w:trPr>
        <w:tc>
          <w:tcPr>
            <w:tcW w:type="dxa" w:w="2800"/>
            <w:tcBorders>
              <w:top w:val="single" w:color="8E2B2B" w:sz="4"/>
              <w:left w:val="single" w:color="8E2B2B" w:sz="4"/>
              <w:bottom w:val="single" w:color="8E2B2B" w:sz="4"/>
              <w:right w:val="single" w:color="8E2B2B" w:sz="4"/>
            </w:tcBorders>
            <w:shd w:fill="8E2B2B" w:color="auto" w:val="clear"/>
            <w:tcMar>
              <w:top w:type="dxa" w:w="70"/>
              <w:left w:type="dxa" w:w="110"/>
              <w:bottom w:type="dxa" w:w="70"/>
              <w:right w:type="dxa" w:w="110"/>
            </w:tcMar>
            <w:vAlign w:val="top"/>
          </w:tcPr>
          <w:p>
            <w:pPr>
              <w:spacing w:after="40" w:line="260" w:lineRule="auto"/>
            </w:pPr>
            <w:r>
              <w:rPr>
                <w:rFonts w:ascii="Calibri" w:cs="Calibri" w:eastAsia="Calibri" w:hAnsi="Calibri"/>
                <w:b/>
                <w:bCs/>
                <w:color w:val="FFFFFF"/>
                <w:sz w:val="19"/>
                <w:szCs w:val="19"/>
              </w:rPr>
              <w:t xml:space="preserve">Metric</w:t>
            </w:r>
          </w:p>
        </w:tc>
        <w:tc>
          <w:tcPr>
            <w:tcW w:type="dxa" w:w="6226"/>
            <w:tcBorders>
              <w:top w:val="single" w:color="8E2B2B" w:sz="4"/>
              <w:left w:val="single" w:color="8E2B2B" w:sz="4"/>
              <w:bottom w:val="single" w:color="8E2B2B" w:sz="4"/>
              <w:right w:val="single" w:color="8E2B2B" w:sz="4"/>
            </w:tcBorders>
            <w:shd w:fill="8E2B2B" w:color="auto" w:val="clear"/>
            <w:tcMar>
              <w:top w:type="dxa" w:w="70"/>
              <w:left w:type="dxa" w:w="110"/>
              <w:bottom w:type="dxa" w:w="70"/>
              <w:right w:type="dxa" w:w="110"/>
            </w:tcMar>
            <w:vAlign w:val="top"/>
          </w:tcPr>
          <w:p>
            <w:pPr>
              <w:spacing w:after="40" w:line="260" w:lineRule="auto"/>
            </w:pPr>
            <w:r>
              <w:rPr>
                <w:rFonts w:ascii="Calibri" w:cs="Calibri" w:eastAsia="Calibri" w:hAnsi="Calibri"/>
                <w:b/>
                <w:bCs/>
                <w:color w:val="FFFFFF"/>
                <w:sz w:val="19"/>
                <w:szCs w:val="19"/>
              </w:rPr>
              <w:t xml:space="preserve">What it measures</w:t>
            </w:r>
          </w:p>
        </w:tc>
      </w:tr>
      <w:tr>
        <w:trPr>
          <w:cantSplit/>
        </w:trPr>
        <w:tc>
          <w:tcPr>
            <w:tcW w:type="dxa" w:w="2800"/>
            <w:tcBorders>
              <w:top w:val="single" w:color="BFBFBF" w:sz="4"/>
              <w:left w:val="single" w:color="BFBFBF" w:sz="4"/>
              <w:bottom w:val="single" w:color="BFBFBF" w:sz="4"/>
              <w:right w:val="single" w:color="BFBFBF" w:sz="4"/>
            </w:tcBorders>
            <w:shd w:fill="F8EDED" w:color="auto" w:val="clear"/>
            <w:tcMar>
              <w:top w:type="dxa" w:w="70"/>
              <w:left w:type="dxa" w:w="110"/>
              <w:bottom w:type="dxa" w:w="70"/>
              <w:right w:type="dxa" w:w="110"/>
            </w:tcMar>
            <w:vAlign w:val="top"/>
          </w:tcPr>
          <w:p>
            <w:pPr>
              <w:spacing w:after="40" w:line="260" w:lineRule="auto"/>
            </w:pPr>
            <w:r>
              <w:rPr>
                <w:rFonts w:ascii="Calibri" w:cs="Calibri" w:eastAsia="Calibri" w:hAnsi="Calibri"/>
                <w:b/>
                <w:bCs/>
                <w:sz w:val="19"/>
                <w:szCs w:val="19"/>
              </w:rPr>
              <w:t xml:space="preserve">Fidelity</w:t>
            </w:r>
          </w:p>
        </w:tc>
        <w:tc>
          <w:tcPr>
            <w:tcW w:type="dxa" w:w="6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0" w:lineRule="auto"/>
            </w:pPr>
            <w:r>
              <w:rPr>
                <w:rFonts w:ascii="Calibri" w:cs="Calibri" w:eastAsia="Calibri" w:hAnsi="Calibri"/>
                <w:b w:val="false"/>
                <w:bCs w:val="false"/>
                <w:sz w:val="19"/>
                <w:szCs w:val="19"/>
              </w:rPr>
              <w:t xml:space="preserve">How well the explanation reflects the model: change in prediction when top-attributed features or evidence are removed or kept (deletion / insertion style tests).</w:t>
            </w:r>
          </w:p>
        </w:tc>
      </w:tr>
      <w:tr>
        <w:trPr>
          <w:cantSplit/>
        </w:trPr>
        <w:tc>
          <w:tcPr>
            <w:tcW w:type="dxa" w:w="2800"/>
            <w:tcBorders>
              <w:top w:val="single" w:color="BFBFBF" w:sz="4"/>
              <w:left w:val="single" w:color="BFBFBF" w:sz="4"/>
              <w:bottom w:val="single" w:color="BFBFBF" w:sz="4"/>
              <w:right w:val="single" w:color="BFBFBF" w:sz="4"/>
            </w:tcBorders>
            <w:shd w:fill="F8EDED" w:color="auto" w:val="clear"/>
            <w:tcMar>
              <w:top w:type="dxa" w:w="70"/>
              <w:left w:type="dxa" w:w="110"/>
              <w:bottom w:type="dxa" w:w="70"/>
              <w:right w:type="dxa" w:w="110"/>
            </w:tcMar>
            <w:vAlign w:val="top"/>
          </w:tcPr>
          <w:p>
            <w:pPr>
              <w:spacing w:after="40" w:line="260" w:lineRule="auto"/>
            </w:pPr>
            <w:r>
              <w:rPr>
                <w:rFonts w:ascii="Calibri" w:cs="Calibri" w:eastAsia="Calibri" w:hAnsi="Calibri"/>
                <w:b/>
                <w:bCs/>
                <w:sz w:val="19"/>
                <w:szCs w:val="19"/>
              </w:rPr>
              <w:t xml:space="preserve">Stability</w:t>
            </w:r>
          </w:p>
        </w:tc>
        <w:tc>
          <w:tcPr>
            <w:tcW w:type="dxa" w:w="6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0" w:lineRule="auto"/>
            </w:pPr>
            <w:r>
              <w:rPr>
                <w:rFonts w:ascii="Calibri" w:cs="Calibri" w:eastAsia="Calibri" w:hAnsi="Calibri"/>
                <w:b w:val="false"/>
                <w:bCs w:val="false"/>
                <w:sz w:val="19"/>
                <w:szCs w:val="19"/>
              </w:rPr>
              <w:t xml:space="preserve">Similarity of explanations (for example rank correlation or top-k overlap) under small input perturbations.</w:t>
            </w:r>
          </w:p>
        </w:tc>
      </w:tr>
      <w:tr>
        <w:trPr>
          <w:cantSplit/>
        </w:trPr>
        <w:tc>
          <w:tcPr>
            <w:tcW w:type="dxa" w:w="2800"/>
            <w:tcBorders>
              <w:top w:val="single" w:color="BFBFBF" w:sz="4"/>
              <w:left w:val="single" w:color="BFBFBF" w:sz="4"/>
              <w:bottom w:val="single" w:color="BFBFBF" w:sz="4"/>
              <w:right w:val="single" w:color="BFBFBF" w:sz="4"/>
            </w:tcBorders>
            <w:shd w:fill="F8EDED" w:color="auto" w:val="clear"/>
            <w:tcMar>
              <w:top w:type="dxa" w:w="70"/>
              <w:left w:type="dxa" w:w="110"/>
              <w:bottom w:type="dxa" w:w="70"/>
              <w:right w:type="dxa" w:w="110"/>
            </w:tcMar>
            <w:vAlign w:val="top"/>
          </w:tcPr>
          <w:p>
            <w:pPr>
              <w:spacing w:after="40" w:line="260" w:lineRule="auto"/>
            </w:pPr>
            <w:r>
              <w:rPr>
                <w:rFonts w:ascii="Calibri" w:cs="Calibri" w:eastAsia="Calibri" w:hAnsi="Calibri"/>
                <w:b/>
                <w:bCs/>
                <w:sz w:val="19"/>
                <w:szCs w:val="19"/>
              </w:rPr>
              <w:t xml:space="preserve">Feature attribution consistency</w:t>
            </w:r>
          </w:p>
        </w:tc>
        <w:tc>
          <w:tcPr>
            <w:tcW w:type="dxa" w:w="6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0" w:lineRule="auto"/>
            </w:pPr>
            <w:r>
              <w:rPr>
                <w:rFonts w:ascii="Calibri" w:cs="Calibri" w:eastAsia="Calibri" w:hAnsi="Calibri"/>
                <w:b w:val="false"/>
                <w:bCs w:val="false"/>
                <w:sz w:val="19"/>
                <w:szCs w:val="19"/>
              </w:rPr>
              <w:t xml:space="preserve">Agreement of attributions across random seeds, models and attribution methods.</w:t>
            </w:r>
          </w:p>
        </w:tc>
      </w:tr>
      <w:tr>
        <w:trPr>
          <w:cantSplit/>
        </w:trPr>
        <w:tc>
          <w:tcPr>
            <w:tcW w:type="dxa" w:w="2800"/>
            <w:tcBorders>
              <w:top w:val="single" w:color="BFBFBF" w:sz="4"/>
              <w:left w:val="single" w:color="BFBFBF" w:sz="4"/>
              <w:bottom w:val="single" w:color="BFBFBF" w:sz="4"/>
              <w:right w:val="single" w:color="BFBFBF" w:sz="4"/>
            </w:tcBorders>
            <w:shd w:fill="F8EDED" w:color="auto" w:val="clear"/>
            <w:tcMar>
              <w:top w:type="dxa" w:w="70"/>
              <w:left w:type="dxa" w:w="110"/>
              <w:bottom w:type="dxa" w:w="70"/>
              <w:right w:type="dxa" w:w="110"/>
            </w:tcMar>
            <w:vAlign w:val="top"/>
          </w:tcPr>
          <w:p>
            <w:pPr>
              <w:spacing w:after="40" w:line="260" w:lineRule="auto"/>
            </w:pPr>
            <w:r>
              <w:rPr>
                <w:rFonts w:ascii="Calibri" w:cs="Calibri" w:eastAsia="Calibri" w:hAnsi="Calibri"/>
                <w:b/>
                <w:bCs/>
                <w:sz w:val="19"/>
                <w:szCs w:val="19"/>
              </w:rPr>
              <w:t xml:space="preserve">Evidence consistency</w:t>
            </w:r>
          </w:p>
        </w:tc>
        <w:tc>
          <w:tcPr>
            <w:tcW w:type="dxa" w:w="6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0" w:lineRule="auto"/>
            </w:pPr>
            <w:r>
              <w:rPr>
                <w:rFonts w:ascii="Calibri" w:cs="Calibri" w:eastAsia="Calibri" w:hAnsi="Calibri"/>
                <w:b w:val="false"/>
                <w:bCs w:val="false"/>
                <w:sz w:val="19"/>
                <w:szCs w:val="19"/>
              </w:rPr>
              <w:t xml:space="preserve">Share of cited evidence that passes the verification checks of Component F.</w:t>
            </w:r>
          </w:p>
        </w:tc>
      </w:tr>
      <w:tr>
        <w:trPr>
          <w:cantSplit/>
        </w:trPr>
        <w:tc>
          <w:tcPr>
            <w:tcW w:type="dxa" w:w="2800"/>
            <w:tcBorders>
              <w:top w:val="single" w:color="BFBFBF" w:sz="4"/>
              <w:left w:val="single" w:color="BFBFBF" w:sz="4"/>
              <w:bottom w:val="single" w:color="BFBFBF" w:sz="4"/>
              <w:right w:val="single" w:color="BFBFBF" w:sz="4"/>
            </w:tcBorders>
            <w:shd w:fill="F8EDED" w:color="auto" w:val="clear"/>
            <w:tcMar>
              <w:top w:type="dxa" w:w="70"/>
              <w:left w:type="dxa" w:w="110"/>
              <w:bottom w:type="dxa" w:w="70"/>
              <w:right w:type="dxa" w:w="110"/>
            </w:tcMar>
            <w:vAlign w:val="top"/>
          </w:tcPr>
          <w:p>
            <w:pPr>
              <w:spacing w:after="40" w:line="260" w:lineRule="auto"/>
            </w:pPr>
            <w:r>
              <w:rPr>
                <w:rFonts w:ascii="Calibri" w:cs="Calibri" w:eastAsia="Calibri" w:hAnsi="Calibri"/>
                <w:b/>
                <w:bCs/>
                <w:sz w:val="19"/>
                <w:szCs w:val="19"/>
              </w:rPr>
              <w:t xml:space="preserve">Completeness</w:t>
            </w:r>
          </w:p>
        </w:tc>
        <w:tc>
          <w:tcPr>
            <w:tcW w:type="dxa" w:w="6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0" w:lineRule="auto"/>
            </w:pPr>
            <w:r>
              <w:rPr>
                <w:rFonts w:ascii="Calibri" w:cs="Calibri" w:eastAsia="Calibri" w:hAnsi="Calibri"/>
                <w:b w:val="false"/>
                <w:bCs w:val="false"/>
                <w:sz w:val="19"/>
                <w:szCs w:val="19"/>
              </w:rPr>
              <w:t xml:space="preserve">Whether attributions account for the prediction (for example additivity gap) and whether all relevant modalities’ evidence is covered.</w:t>
            </w:r>
          </w:p>
        </w:tc>
      </w:tr>
      <w:tr>
        <w:trPr>
          <w:cantSplit/>
        </w:trPr>
        <w:tc>
          <w:tcPr>
            <w:tcW w:type="dxa" w:w="2800"/>
            <w:tcBorders>
              <w:top w:val="single" w:color="BFBFBF" w:sz="4"/>
              <w:left w:val="single" w:color="BFBFBF" w:sz="4"/>
              <w:bottom w:val="single" w:color="BFBFBF" w:sz="4"/>
              <w:right w:val="single" w:color="BFBFBF" w:sz="4"/>
            </w:tcBorders>
            <w:shd w:fill="F8EDED" w:color="auto" w:val="clear"/>
            <w:tcMar>
              <w:top w:type="dxa" w:w="70"/>
              <w:left w:type="dxa" w:w="110"/>
              <w:bottom w:type="dxa" w:w="70"/>
              <w:right w:type="dxa" w:w="110"/>
            </w:tcMar>
            <w:vAlign w:val="top"/>
          </w:tcPr>
          <w:p>
            <w:pPr>
              <w:spacing w:after="40" w:line="260" w:lineRule="auto"/>
            </w:pPr>
            <w:r>
              <w:rPr>
                <w:rFonts w:ascii="Calibri" w:cs="Calibri" w:eastAsia="Calibri" w:hAnsi="Calibri"/>
                <w:b/>
                <w:bCs/>
                <w:sz w:val="19"/>
                <w:szCs w:val="19"/>
              </w:rPr>
              <w:t xml:space="preserve">Human interpretability</w:t>
            </w:r>
          </w:p>
        </w:tc>
        <w:tc>
          <w:tcPr>
            <w:tcW w:type="dxa" w:w="6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0" w:lineRule="auto"/>
            </w:pPr>
            <w:r>
              <w:rPr>
                <w:rFonts w:ascii="Calibri" w:cs="Calibri" w:eastAsia="Calibri" w:hAnsi="Calibri"/>
                <w:b w:val="false"/>
                <w:bCs w:val="false"/>
                <w:sz w:val="19"/>
                <w:szCs w:val="19"/>
              </w:rPr>
              <w:t xml:space="preserve">Structured rating study of explanation clarity and usefulness. The protocol, participants and any required institutional approval are defined before the study.</w:t>
            </w:r>
          </w:p>
        </w:tc>
      </w:tr>
    </w:tbl>
    <w:p>
      <w:pPr>
        <w:pStyle w:val="Heading1"/>
        <w:keepNext/>
        <w:pBdr>
          <w:bottom w:val="single" w:color="8E2B2B" w:sz="8" w:space="3"/>
        </w:pBdr>
        <w:spacing w:after="140" w:before="360"/>
      </w:pPr>
      <w:r>
        <w:rPr>
          <w:rFonts w:ascii="Calibri" w:cs="Calibri" w:eastAsia="Calibri" w:hAnsi="Calibri"/>
          <w:b/>
          <w:bCs/>
          <w:color w:val="8E2B2B"/>
          <w:sz w:val="30"/>
          <w:szCs w:val="30"/>
        </w:rPr>
        <w:t xml:space="preserve">8. Publication Plan for Paper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cantSplit/>
        </w:trPr>
        <w:tc>
          <w:tcPr>
            <w:tcW w:type="dxa" w:w="1900"/>
            <w:tcBorders>
              <w:top w:val="single" w:color="BFBFBF" w:sz="4"/>
              <w:left w:val="single" w:color="BFBFBF" w:sz="4"/>
              <w:bottom w:val="single" w:color="BFBFBF" w:sz="4"/>
              <w:right w:val="single" w:color="BFBFBF" w:sz="4"/>
            </w:tcBorders>
            <w:shd w:fill="F8EDED" w:color="auto" w:val="clear"/>
            <w:tcMar>
              <w:top w:type="dxa" w:w="70"/>
              <w:left w:type="dxa" w:w="110"/>
              <w:bottom w:type="dxa" w:w="70"/>
              <w:right w:type="dxa" w:w="110"/>
            </w:tcMar>
            <w:vAlign w:val="top"/>
          </w:tcPr>
          <w:p>
            <w:pPr>
              <w:keepNext/>
              <w:spacing w:after="40" w:line="260" w:lineRule="auto"/>
            </w:pPr>
            <w:r>
              <w:rPr>
                <w:rFonts w:ascii="Calibri" w:cs="Calibri" w:eastAsia="Calibri" w:hAnsi="Calibri"/>
                <w:b/>
                <w:bCs/>
                <w:color w:val="8E2B2B"/>
                <w:sz w:val="19"/>
                <w:szCs w:val="19"/>
              </w:rPr>
              <w:t xml:space="preserve">Proposed title</w:t>
            </w:r>
          </w:p>
        </w:tc>
        <w:tc>
          <w:tcPr>
            <w:tcW w:type="dxa" w:w="71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spacing w:after="40" w:line="260" w:lineRule="auto"/>
            </w:pPr>
            <w:r>
              <w:rPr>
                <w:rFonts w:ascii="Calibri" w:cs="Calibri" w:eastAsia="Calibri" w:hAnsi="Calibri"/>
                <w:sz w:val="19"/>
                <w:szCs w:val="19"/>
              </w:rPr>
              <w:t xml:space="preserve">Evidence-Grounded Cross-Modal Explainability and Uncertainty-Aware Early Warning for Supply-Chain Disruptions</w:t>
            </w:r>
          </w:p>
        </w:tc>
      </w:tr>
      <w:tr>
        <w:trPr>
          <w:cantSplit/>
        </w:trPr>
        <w:tc>
          <w:tcPr>
            <w:tcW w:type="dxa" w:w="1900"/>
            <w:tcBorders>
              <w:top w:val="single" w:color="BFBFBF" w:sz="4"/>
              <w:left w:val="single" w:color="BFBFBF" w:sz="4"/>
              <w:bottom w:val="single" w:color="BFBFBF" w:sz="4"/>
              <w:right w:val="single" w:color="BFBFBF" w:sz="4"/>
            </w:tcBorders>
            <w:shd w:fill="F8EDED" w:color="auto" w:val="clear"/>
            <w:tcMar>
              <w:top w:type="dxa" w:w="70"/>
              <w:left w:type="dxa" w:w="110"/>
              <w:bottom w:type="dxa" w:w="70"/>
              <w:right w:type="dxa" w:w="110"/>
            </w:tcMar>
            <w:vAlign w:val="top"/>
          </w:tcPr>
          <w:p>
            <w:pPr>
              <w:keepNext/>
              <w:spacing w:after="40" w:line="260" w:lineRule="auto"/>
            </w:pPr>
            <w:r>
              <w:rPr>
                <w:rFonts w:ascii="Calibri" w:cs="Calibri" w:eastAsia="Calibri" w:hAnsi="Calibri"/>
                <w:b/>
                <w:bCs/>
                <w:color w:val="8E2B2B"/>
                <w:sz w:val="19"/>
                <w:szCs w:val="19"/>
              </w:rPr>
              <w:t xml:space="preserve">Scope</w:t>
            </w:r>
          </w:p>
        </w:tc>
        <w:tc>
          <w:tcPr>
            <w:tcW w:type="dxa" w:w="71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pStyle w:val="ListParagraph"/>
              <w:keepNext/>
              <w:numPr>
                <w:ilvl w:val="0"/>
                <w:numId w:val="2"/>
              </w:numPr>
              <w:spacing w:after="30" w:line="260" w:lineRule="auto"/>
            </w:pPr>
            <w:r>
              <w:rPr>
                <w:rFonts w:ascii="Calibri" w:cs="Calibri" w:eastAsia="Calibri" w:hAnsi="Calibri"/>
                <w:sz w:val="19"/>
                <w:szCs w:val="19"/>
              </w:rPr>
              <w:t xml:space="preserve">Cross-modal attribution</w:t>
            </w:r>
          </w:p>
          <w:p>
            <w:pPr>
              <w:pStyle w:val="ListParagraph"/>
              <w:keepNext/>
              <w:numPr>
                <w:ilvl w:val="0"/>
                <w:numId w:val="2"/>
              </w:numPr>
              <w:spacing w:after="30" w:line="260" w:lineRule="auto"/>
            </w:pPr>
            <w:r>
              <w:rPr>
                <w:rFonts w:ascii="Calibri" w:cs="Calibri" w:eastAsia="Calibri" w:hAnsi="Calibri"/>
                <w:sz w:val="19"/>
                <w:szCs w:val="19"/>
              </w:rPr>
              <w:t xml:space="preserve">Evidence grounding</w:t>
            </w:r>
          </w:p>
          <w:p>
            <w:pPr>
              <w:pStyle w:val="ListParagraph"/>
              <w:keepNext/>
              <w:numPr>
                <w:ilvl w:val="0"/>
                <w:numId w:val="2"/>
              </w:numPr>
              <w:spacing w:after="30" w:line="260" w:lineRule="auto"/>
            </w:pPr>
            <w:r>
              <w:rPr>
                <w:rFonts w:ascii="Calibri" w:cs="Calibri" w:eastAsia="Calibri" w:hAnsi="Calibri"/>
                <w:sz w:val="19"/>
                <w:szCs w:val="19"/>
              </w:rPr>
              <w:t xml:space="preserve">Explanation verification</w:t>
            </w:r>
          </w:p>
          <w:p>
            <w:pPr>
              <w:pStyle w:val="ListParagraph"/>
              <w:keepNext/>
              <w:numPr>
                <w:ilvl w:val="0"/>
                <w:numId w:val="2"/>
              </w:numPr>
              <w:spacing w:after="30" w:line="260" w:lineRule="auto"/>
            </w:pPr>
            <w:r>
              <w:rPr>
                <w:rFonts w:ascii="Calibri" w:cs="Calibri" w:eastAsia="Calibri" w:hAnsi="Calibri"/>
                <w:sz w:val="19"/>
                <w:szCs w:val="19"/>
              </w:rPr>
              <w:t xml:space="preserve">Uncertainty estimation</w:t>
            </w:r>
          </w:p>
          <w:p>
            <w:pPr>
              <w:pStyle w:val="ListParagraph"/>
              <w:keepNext/>
              <w:numPr>
                <w:ilvl w:val="0"/>
                <w:numId w:val="2"/>
              </w:numPr>
              <w:spacing w:after="30" w:line="260" w:lineRule="auto"/>
            </w:pPr>
            <w:r>
              <w:rPr>
                <w:rFonts w:ascii="Calibri" w:cs="Calibri" w:eastAsia="Calibri" w:hAnsi="Calibri"/>
                <w:sz w:val="19"/>
                <w:szCs w:val="19"/>
              </w:rPr>
              <w:t xml:space="preserve">Calibration</w:t>
            </w:r>
          </w:p>
          <w:p>
            <w:pPr>
              <w:pStyle w:val="ListParagraph"/>
              <w:keepNext/>
              <w:numPr>
                <w:ilvl w:val="0"/>
                <w:numId w:val="2"/>
              </w:numPr>
              <w:spacing w:after="30" w:line="260" w:lineRule="auto"/>
            </w:pPr>
            <w:r>
              <w:rPr>
                <w:rFonts w:ascii="Calibri" w:cs="Calibri" w:eastAsia="Calibri" w:hAnsi="Calibri"/>
                <w:sz w:val="19"/>
                <w:szCs w:val="19"/>
              </w:rPr>
              <w:t xml:space="preserve">Explanation fidelity</w:t>
            </w:r>
          </w:p>
          <w:p>
            <w:pPr>
              <w:pStyle w:val="ListParagraph"/>
              <w:keepNext/>
              <w:numPr>
                <w:ilvl w:val="0"/>
                <w:numId w:val="2"/>
              </w:numPr>
              <w:spacing w:after="30" w:line="260" w:lineRule="auto"/>
            </w:pPr>
            <w:r>
              <w:rPr>
                <w:rFonts w:ascii="Calibri" w:cs="Calibri" w:eastAsia="Calibri" w:hAnsi="Calibri"/>
                <w:sz w:val="19"/>
                <w:szCs w:val="19"/>
              </w:rPr>
              <w:t xml:space="preserve">Explanation stability</w:t>
            </w:r>
          </w:p>
          <w:p>
            <w:pPr>
              <w:pStyle w:val="ListParagraph"/>
              <w:keepNext/>
              <w:numPr>
                <w:ilvl w:val="0"/>
                <w:numId w:val="2"/>
              </w:numPr>
              <w:spacing w:after="30" w:line="260" w:lineRule="auto"/>
            </w:pPr>
            <w:r>
              <w:rPr>
                <w:rFonts w:ascii="Calibri" w:cs="Calibri" w:eastAsia="Calibri" w:hAnsi="Calibri"/>
                <w:sz w:val="19"/>
                <w:szCs w:val="19"/>
              </w:rPr>
              <w:t xml:space="preserve">Detailed ablation experiments</w:t>
            </w:r>
          </w:p>
        </w:tc>
      </w:tr>
      <w:tr>
        <w:trPr>
          <w:cantSplit/>
        </w:trPr>
        <w:tc>
          <w:tcPr>
            <w:tcW w:type="dxa" w:w="1900"/>
            <w:tcBorders>
              <w:top w:val="single" w:color="BFBFBF" w:sz="4"/>
              <w:left w:val="single" w:color="BFBFBF" w:sz="4"/>
              <w:bottom w:val="single" w:color="BFBFBF" w:sz="4"/>
              <w:right w:val="single" w:color="BFBFBF" w:sz="4"/>
            </w:tcBorders>
            <w:shd w:fill="F8EDED" w:color="auto" w:val="clear"/>
            <w:tcMar>
              <w:top w:type="dxa" w:w="70"/>
              <w:left w:type="dxa" w:w="110"/>
              <w:bottom w:type="dxa" w:w="70"/>
              <w:right w:type="dxa" w:w="110"/>
            </w:tcMar>
            <w:vAlign w:val="top"/>
          </w:tcPr>
          <w:p>
            <w:pPr>
              <w:keepNext/>
              <w:spacing w:after="40" w:line="260" w:lineRule="auto"/>
            </w:pPr>
            <w:r>
              <w:rPr>
                <w:rFonts w:ascii="Calibri" w:cs="Calibri" w:eastAsia="Calibri" w:hAnsi="Calibri"/>
                <w:b/>
                <w:bCs/>
                <w:color w:val="8E2B2B"/>
                <w:sz w:val="19"/>
                <w:szCs w:val="19"/>
              </w:rPr>
              <w:t xml:space="preserve">Central question</w:t>
            </w:r>
          </w:p>
        </w:tc>
        <w:tc>
          <w:tcPr>
            <w:tcW w:type="dxa" w:w="71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spacing w:after="40" w:line="260" w:lineRule="auto"/>
            </w:pPr>
            <w:r>
              <w:rPr>
                <w:rFonts w:ascii="Calibri" w:cs="Calibri" w:eastAsia="Calibri" w:hAnsi="Calibri"/>
                <w:sz w:val="19"/>
                <w:szCs w:val="19"/>
              </w:rPr>
              <w:t xml:space="preserve">Can explanations be grounded in verified evidence and paired with reliable uncertainty?</w:t>
            </w:r>
          </w:p>
        </w:tc>
      </w:tr>
      <w:tr>
        <w:trPr>
          <w:cantSplit/>
        </w:trPr>
        <w:tc>
          <w:tcPr>
            <w:tcW w:type="dxa" w:w="1900"/>
            <w:tcBorders>
              <w:top w:val="single" w:color="BFBFBF" w:sz="4"/>
              <w:left w:val="single" w:color="BFBFBF" w:sz="4"/>
              <w:bottom w:val="single" w:color="BFBFBF" w:sz="4"/>
              <w:right w:val="single" w:color="BFBFBF" w:sz="4"/>
            </w:tcBorders>
            <w:shd w:fill="F8EDED" w:color="auto" w:val="clear"/>
            <w:tcMar>
              <w:top w:type="dxa" w:w="70"/>
              <w:left w:type="dxa" w:w="110"/>
              <w:bottom w:type="dxa" w:w="70"/>
              <w:right w:type="dxa" w:w="110"/>
            </w:tcMar>
            <w:vAlign w:val="top"/>
          </w:tcPr>
          <w:p>
            <w:pPr>
              <w:keepNext w:val="false"/>
              <w:spacing w:after="40" w:line="260" w:lineRule="auto"/>
            </w:pPr>
            <w:r>
              <w:rPr>
                <w:rFonts w:ascii="Calibri" w:cs="Calibri" w:eastAsia="Calibri" w:hAnsi="Calibri"/>
                <w:b/>
                <w:bCs/>
                <w:color w:val="8E2B2B"/>
                <w:sz w:val="19"/>
                <w:szCs w:val="19"/>
              </w:rPr>
              <w:t xml:space="preserve">Venue type</w:t>
            </w:r>
          </w:p>
        </w:tc>
        <w:tc>
          <w:tcPr>
            <w:tcW w:type="dxa" w:w="71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40" w:line="260" w:lineRule="auto"/>
            </w:pPr>
            <w:r>
              <w:rPr>
                <w:rFonts w:ascii="Calibri" w:cs="Calibri" w:eastAsia="Calibri" w:hAnsi="Calibri"/>
                <w:sz w:val="19"/>
                <w:szCs w:val="19"/>
              </w:rPr>
              <w:t xml:space="preserve">Venue interested in explainable or trustworthy machine learning. The final choice requires checking each venue’s scope, review criteria, page limits and deadlines.</w:t>
            </w:r>
          </w:p>
        </w:tc>
      </w:tr>
    </w:tbl>
    <w:p>
      <w:pPr>
        <w:pStyle w:val="Heading2"/>
        <w:keepNext/>
        <w:spacing w:after="100" w:before="240"/>
      </w:pPr>
      <w:r>
        <w:rPr>
          <w:rFonts w:ascii="Calibri" w:cs="Calibri" w:eastAsia="Calibri" w:hAnsi="Calibri"/>
          <w:b/>
          <w:bCs/>
          <w:color w:val="8E2B2B"/>
          <w:sz w:val="25"/>
          <w:szCs w:val="25"/>
        </w:rPr>
        <w:t xml:space="preserve">8.1 Keeping Paper 2 distinct from Paper 1</w:t>
      </w:r>
    </w:p>
    <w:p>
      <w:pPr>
        <w:pStyle w:val="ListParagraph"/>
        <w:numPr>
          <w:ilvl w:val="0"/>
          <w:numId w:val="2"/>
        </w:numPr>
        <w:spacing w:after="60" w:line="276" w:lineRule="auto"/>
      </w:pPr>
      <w:r>
        <w:rPr>
          <w:rFonts w:ascii="Calibri" w:cs="Calibri" w:eastAsia="Calibri" w:hAnsi="Calibri"/>
          <w:sz w:val="21"/>
          <w:szCs w:val="21"/>
        </w:rPr>
        <w:t xml:space="preserve">Paper 1 uses standard attribution as one framework component. Paper 2 introduces and evaluates the new methods.</w:t>
      </w:r>
    </w:p>
    <w:p>
      <w:pPr>
        <w:pStyle w:val="ListParagraph"/>
        <w:numPr>
          <w:ilvl w:val="0"/>
          <w:numId w:val="2"/>
        </w:numPr>
        <w:spacing w:after="60" w:line="276" w:lineRule="auto"/>
      </w:pPr>
      <w:r>
        <w:rPr>
          <w:rFonts w:ascii="Calibri" w:cs="Calibri" w:eastAsia="Calibri" w:hAnsi="Calibri"/>
          <w:sz w:val="21"/>
          <w:szCs w:val="21"/>
        </w:rPr>
        <w:t xml:space="preserve">The experiments differ: Paper 1 evaluates overall system performance; Paper 2 evaluates explanation fidelity, stability, evidence consistency and uncertainty, with its own ablations.</w:t>
      </w:r>
    </w:p>
    <w:p>
      <w:pPr>
        <w:pStyle w:val="ListParagraph"/>
        <w:numPr>
          <w:ilvl w:val="0"/>
          <w:numId w:val="2"/>
        </w:numPr>
        <w:spacing w:after="60" w:line="276" w:lineRule="auto"/>
      </w:pPr>
      <w:r>
        <w:rPr>
          <w:rFonts w:ascii="Calibri" w:cs="Calibri" w:eastAsia="Calibri" w:hAnsi="Calibri"/>
          <w:sz w:val="21"/>
          <w:szCs w:val="21"/>
        </w:rPr>
        <w:t xml:space="preserve">Paper 2 cites Paper 1 for the framework and shared pipeline, and does not reuse its text or figures beyond what is cited.</w:t>
      </w:r>
    </w:p>
    <w:p>
      <w:pPr>
        <w:pStyle w:val="ListParagraph"/>
        <w:numPr>
          <w:ilvl w:val="0"/>
          <w:numId w:val="2"/>
        </w:numPr>
        <w:spacing w:after="60" w:line="276" w:lineRule="auto"/>
      </w:pPr>
      <w:r>
        <w:rPr>
          <w:rFonts w:ascii="Calibri" w:cs="Calibri" w:eastAsia="Calibri" w:hAnsi="Calibri"/>
          <w:sz w:val="21"/>
          <w:szCs w:val="21"/>
        </w:rPr>
        <w:t xml:space="preserve">Overlap is disclosed to the venues according to their policies.</w:t>
      </w:r>
    </w:p>
    <w:p>
      <w:pPr>
        <w:pStyle w:val="ListParagraph"/>
        <w:numPr>
          <w:ilvl w:val="0"/>
          <w:numId w:val="2"/>
        </w:numPr>
        <w:spacing w:after="60" w:line="276" w:lineRule="auto"/>
      </w:pPr>
      <w:r>
        <w:rPr>
          <w:rFonts w:ascii="Calibri" w:cs="Calibri" w:eastAsia="Calibri" w:hAnsi="Calibri"/>
          <w:sz w:val="21"/>
          <w:szCs w:val="21"/>
        </w:rPr>
        <w:t xml:space="preserve">Authorship and contribution statements for both papers are agreed with the supervisor early, based on actual contribution.</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8EDED" w:sz="4"/>
              <w:left w:val="single" w:color="8E2B2B" w:sz="24"/>
              <w:bottom w:val="single" w:color="F8EDED" w:sz="4"/>
              <w:right w:val="single" w:color="F8EDED" w:sz="4"/>
            </w:tcBorders>
            <w:shd w:fill="F8EDED" w:color="auto" w:val="clear"/>
            <w:tcMar>
              <w:top w:type="dxa" w:w="110"/>
              <w:left w:type="dxa" w:w="200"/>
              <w:bottom w:type="dxa" w:w="90"/>
              <w:right w:type="dxa" w:w="160"/>
            </w:tcMar>
          </w:tcPr>
          <w:p>
            <w:pPr>
              <w:spacing w:after="60"/>
            </w:pPr>
            <w:r>
              <w:rPr>
                <w:rFonts w:ascii="Calibri" w:cs="Calibri" w:eastAsia="Calibri" w:hAnsi="Calibri"/>
                <w:b/>
                <w:bCs/>
                <w:color w:val="8E2B2B"/>
                <w:sz w:val="20"/>
                <w:szCs w:val="20"/>
              </w:rPr>
              <w:t xml:space="preserve">Publication readiness</w:t>
            </w:r>
          </w:p>
          <w:p>
            <w:pPr>
              <w:spacing w:after="40" w:line="260" w:lineRule="auto"/>
            </w:pPr>
            <w:r>
              <w:rPr>
                <w:rFonts w:ascii="Calibri" w:cs="Calibri" w:eastAsia="Calibri" w:hAnsi="Calibri"/>
                <w:sz w:val="19"/>
                <w:szCs w:val="19"/>
              </w:rPr>
              <w:t xml:space="preserve">Final publication quality depends on </w:t>
            </w:r>
            <w:r>
              <w:rPr>
                <w:rFonts w:ascii="Calibri" w:cs="Calibri" w:eastAsia="Calibri" w:hAnsi="Calibri"/>
                <w:b/>
                <w:bCs/>
                <w:sz w:val="19"/>
                <w:szCs w:val="19"/>
              </w:rPr>
              <w:t xml:space="preserve">actual novelty, experimental rigour, datasets, baselines, results and the target venue’s requirements</w:t>
            </w:r>
            <w:r>
              <w:rPr>
                <w:rFonts w:ascii="Calibri" w:cs="Calibri" w:eastAsia="Calibri" w:hAnsi="Calibri"/>
                <w:sz w:val="19"/>
                <w:szCs w:val="19"/>
              </w:rPr>
              <w:t xml:space="preserve">. This document makes no claim about acceptance or impact.</w:t>
            </w:r>
          </w:p>
        </w:tc>
      </w:tr>
    </w:tbl>
    <w:p>
      <w:pPr>
        <w:pStyle w:val="Heading1"/>
        <w:keepNext/>
        <w:pBdr>
          <w:bottom w:val="single" w:color="8E2B2B" w:sz="8" w:space="3"/>
        </w:pBdr>
        <w:spacing w:after="140" w:before="360"/>
      </w:pPr>
      <w:r>
        <w:rPr>
          <w:rFonts w:ascii="Calibri" w:cs="Calibri" w:eastAsia="Calibri" w:hAnsi="Calibri"/>
          <w:b/>
          <w:bCs/>
          <w:color w:val="8E2B2B"/>
          <w:sz w:val="30"/>
          <w:szCs w:val="30"/>
        </w:rPr>
        <w:t xml:space="preserve">9. Risks and Open Decisions</w:t>
      </w:r>
    </w:p>
    <w:p>
      <w:pPr>
        <w:pStyle w:val="Heading2"/>
        <w:keepNext/>
        <w:spacing w:after="100" w:before="240"/>
      </w:pPr>
      <w:r>
        <w:rPr>
          <w:rFonts w:ascii="Calibri" w:cs="Calibri" w:eastAsia="Calibri" w:hAnsi="Calibri"/>
          <w:b/>
          <w:bCs/>
          <w:color w:val="8E2B2B"/>
          <w:sz w:val="25"/>
          <w:szCs w:val="25"/>
        </w:rPr>
        <w:t xml:space="preserve">Risks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226"/>
      </w:tblGrid>
      <w:tr>
        <w:trPr>
          <w:cantSplit/>
          <w:tblHeader/>
        </w:trPr>
        <w:tc>
          <w:tcPr>
            <w:tcW w:type="dxa" w:w="2400"/>
            <w:tcBorders>
              <w:top w:val="single" w:color="8E2B2B" w:sz="4"/>
              <w:left w:val="single" w:color="8E2B2B" w:sz="4"/>
              <w:bottom w:val="single" w:color="8E2B2B" w:sz="4"/>
              <w:right w:val="single" w:color="8E2B2B" w:sz="4"/>
            </w:tcBorders>
            <w:shd w:fill="8E2B2B" w:color="auto" w:val="clear"/>
            <w:tcMar>
              <w:top w:type="dxa" w:w="70"/>
              <w:left w:type="dxa" w:w="110"/>
              <w:bottom w:type="dxa" w:w="70"/>
              <w:right w:type="dxa" w:w="110"/>
            </w:tcMar>
            <w:vAlign w:val="top"/>
          </w:tcPr>
          <w:p>
            <w:pPr>
              <w:spacing w:after="40" w:line="260" w:lineRule="auto"/>
            </w:pPr>
            <w:r>
              <w:rPr>
                <w:rFonts w:ascii="Calibri" w:cs="Calibri" w:eastAsia="Calibri" w:hAnsi="Calibri"/>
                <w:b/>
                <w:bCs/>
                <w:color w:val="FFFFFF"/>
                <w:sz w:val="19"/>
                <w:szCs w:val="19"/>
              </w:rPr>
              <w:t xml:space="preserve">Risk</w:t>
            </w:r>
          </w:p>
        </w:tc>
        <w:tc>
          <w:tcPr>
            <w:tcW w:type="dxa" w:w="3400"/>
            <w:tcBorders>
              <w:top w:val="single" w:color="8E2B2B" w:sz="4"/>
              <w:left w:val="single" w:color="8E2B2B" w:sz="4"/>
              <w:bottom w:val="single" w:color="8E2B2B" w:sz="4"/>
              <w:right w:val="single" w:color="8E2B2B" w:sz="4"/>
            </w:tcBorders>
            <w:shd w:fill="8E2B2B" w:color="auto" w:val="clear"/>
            <w:tcMar>
              <w:top w:type="dxa" w:w="70"/>
              <w:left w:type="dxa" w:w="110"/>
              <w:bottom w:type="dxa" w:w="70"/>
              <w:right w:type="dxa" w:w="110"/>
            </w:tcMar>
            <w:vAlign w:val="top"/>
          </w:tcPr>
          <w:p>
            <w:pPr>
              <w:spacing w:after="40" w:line="260" w:lineRule="auto"/>
            </w:pPr>
            <w:r>
              <w:rPr>
                <w:rFonts w:ascii="Calibri" w:cs="Calibri" w:eastAsia="Calibri" w:hAnsi="Calibri"/>
                <w:b/>
                <w:bCs/>
                <w:color w:val="FFFFFF"/>
                <w:sz w:val="19"/>
                <w:szCs w:val="19"/>
              </w:rPr>
              <w:t xml:space="preserve">Why it matters</w:t>
            </w:r>
          </w:p>
        </w:tc>
        <w:tc>
          <w:tcPr>
            <w:tcW w:type="dxa" w:w="3226"/>
            <w:tcBorders>
              <w:top w:val="single" w:color="8E2B2B" w:sz="4"/>
              <w:left w:val="single" w:color="8E2B2B" w:sz="4"/>
              <w:bottom w:val="single" w:color="8E2B2B" w:sz="4"/>
              <w:right w:val="single" w:color="8E2B2B" w:sz="4"/>
            </w:tcBorders>
            <w:shd w:fill="8E2B2B" w:color="auto" w:val="clear"/>
            <w:tcMar>
              <w:top w:type="dxa" w:w="70"/>
              <w:left w:type="dxa" w:w="110"/>
              <w:bottom w:type="dxa" w:w="70"/>
              <w:right w:type="dxa" w:w="110"/>
            </w:tcMar>
            <w:vAlign w:val="top"/>
          </w:tcPr>
          <w:p>
            <w:pPr>
              <w:spacing w:after="40" w:line="260" w:lineRule="auto"/>
            </w:pPr>
            <w:r>
              <w:rPr>
                <w:rFonts w:ascii="Calibri" w:cs="Calibri" w:eastAsia="Calibri" w:hAnsi="Calibri"/>
                <w:b/>
                <w:bCs/>
                <w:color w:val="FFFFFF"/>
                <w:sz w:val="19"/>
                <w:szCs w:val="19"/>
              </w:rPr>
              <w:t xml:space="preserve">Mitigation</w:t>
            </w:r>
          </w:p>
        </w:tc>
      </w:tr>
      <w:tr>
        <w:trPr>
          <w:cantSplit/>
        </w:trPr>
        <w:tc>
          <w:tcPr>
            <w:tcW w:type="dxa" w:w="2400"/>
            <w:tcBorders>
              <w:top w:val="single" w:color="BFBFBF" w:sz="4"/>
              <w:left w:val="single" w:color="BFBFBF" w:sz="4"/>
              <w:bottom w:val="single" w:color="BFBFBF" w:sz="4"/>
              <w:right w:val="single" w:color="BFBFBF" w:sz="4"/>
            </w:tcBorders>
            <w:shd w:fill="F8EDED" w:color="auto" w:val="clear"/>
            <w:tcMar>
              <w:top w:type="dxa" w:w="70"/>
              <w:left w:type="dxa" w:w="110"/>
              <w:bottom w:type="dxa" w:w="70"/>
              <w:right w:type="dxa" w:w="110"/>
            </w:tcMar>
            <w:vAlign w:val="top"/>
          </w:tcPr>
          <w:p>
            <w:pPr>
              <w:spacing w:after="40" w:line="260" w:lineRule="auto"/>
            </w:pPr>
            <w:r>
              <w:rPr>
                <w:rFonts w:ascii="Calibri" w:cs="Calibri" w:eastAsia="Calibri" w:hAnsi="Calibri"/>
                <w:b/>
                <w:bCs/>
                <w:sz w:val="19"/>
                <w:szCs w:val="19"/>
              </w:rPr>
              <w:t xml:space="preserve">Ground-truth disruption labels</w:t>
            </w:r>
          </w:p>
        </w:tc>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0" w:lineRule="auto"/>
            </w:pPr>
            <w:r>
              <w:rPr>
                <w:rFonts w:ascii="Calibri" w:cs="Calibri" w:eastAsia="Calibri" w:hAnsi="Calibri"/>
                <w:b w:val="false"/>
                <w:bCs w:val="false"/>
                <w:sz w:val="19"/>
                <w:szCs w:val="19"/>
              </w:rPr>
              <w:t xml:space="preserve">Prediction quality, fidelity tests and lead-time metrics all depend on reliable disruption labels.</w:t>
            </w:r>
          </w:p>
        </w:tc>
        <w:tc>
          <w:tcPr>
            <w:tcW w:type="dxa" w:w="3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0" w:lineRule="auto"/>
            </w:pPr>
            <w:r>
              <w:rPr>
                <w:rFonts w:ascii="Calibri" w:cs="Calibri" w:eastAsia="Calibri" w:hAnsi="Calibri"/>
                <w:b w:val="false"/>
                <w:bCs w:val="false"/>
                <w:sz w:val="19"/>
                <w:szCs w:val="19"/>
              </w:rPr>
              <w:t xml:space="preserve">Decide the label source early. If semi-synthetic data is used, state it clearly.</w:t>
            </w:r>
          </w:p>
        </w:tc>
      </w:tr>
      <w:tr>
        <w:trPr>
          <w:cantSplit/>
        </w:trPr>
        <w:tc>
          <w:tcPr>
            <w:tcW w:type="dxa" w:w="2400"/>
            <w:tcBorders>
              <w:top w:val="single" w:color="BFBFBF" w:sz="4"/>
              <w:left w:val="single" w:color="BFBFBF" w:sz="4"/>
              <w:bottom w:val="single" w:color="BFBFBF" w:sz="4"/>
              <w:right w:val="single" w:color="BFBFBF" w:sz="4"/>
            </w:tcBorders>
            <w:shd w:fill="F8EDED" w:color="auto" w:val="clear"/>
            <w:tcMar>
              <w:top w:type="dxa" w:w="70"/>
              <w:left w:type="dxa" w:w="110"/>
              <w:bottom w:type="dxa" w:w="70"/>
              <w:right w:type="dxa" w:w="110"/>
            </w:tcMar>
            <w:vAlign w:val="top"/>
          </w:tcPr>
          <w:p>
            <w:pPr>
              <w:spacing w:after="40" w:line="260" w:lineRule="auto"/>
            </w:pPr>
            <w:r>
              <w:rPr>
                <w:rFonts w:ascii="Calibri" w:cs="Calibri" w:eastAsia="Calibri" w:hAnsi="Calibri"/>
                <w:b/>
                <w:bCs/>
                <w:sz w:val="19"/>
                <w:szCs w:val="19"/>
              </w:rPr>
              <w:t xml:space="preserve">Dependence on other libraries</w:t>
            </w:r>
          </w:p>
        </w:tc>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0" w:lineRule="auto"/>
            </w:pPr>
            <w:r>
              <w:rPr>
                <w:rFonts w:ascii="Calibri" w:cs="Calibri" w:eastAsia="Calibri" w:hAnsi="Calibri"/>
                <w:b w:val="false"/>
                <w:bCs w:val="false"/>
                <w:sz w:val="19"/>
                <w:szCs w:val="19"/>
              </w:rPr>
              <w:t xml:space="preserve">Attribution needs trained models (Person 4) and provenance metadata (Persons 1–3).</w:t>
            </w:r>
          </w:p>
        </w:tc>
        <w:tc>
          <w:tcPr>
            <w:tcW w:type="dxa" w:w="3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0" w:lineRule="auto"/>
            </w:pPr>
            <w:r>
              <w:rPr>
                <w:rFonts w:ascii="Calibri" w:cs="Calibri" w:eastAsia="Calibri" w:hAnsi="Calibri"/>
                <w:b w:val="false"/>
                <w:bCs w:val="false"/>
                <w:sz w:val="19"/>
                <w:szCs w:val="19"/>
              </w:rPr>
              <w:t xml:space="preserve">Agree interfaces early and develop against mock inputs until real outputs exist.</w:t>
            </w:r>
          </w:p>
        </w:tc>
      </w:tr>
      <w:tr>
        <w:trPr>
          <w:cantSplit/>
        </w:trPr>
        <w:tc>
          <w:tcPr>
            <w:tcW w:type="dxa" w:w="2400"/>
            <w:tcBorders>
              <w:top w:val="single" w:color="BFBFBF" w:sz="4"/>
              <w:left w:val="single" w:color="BFBFBF" w:sz="4"/>
              <w:bottom w:val="single" w:color="BFBFBF" w:sz="4"/>
              <w:right w:val="single" w:color="BFBFBF" w:sz="4"/>
            </w:tcBorders>
            <w:shd w:fill="F8EDED" w:color="auto" w:val="clear"/>
            <w:tcMar>
              <w:top w:type="dxa" w:w="70"/>
              <w:left w:type="dxa" w:w="110"/>
              <w:bottom w:type="dxa" w:w="70"/>
              <w:right w:type="dxa" w:w="110"/>
            </w:tcMar>
            <w:vAlign w:val="top"/>
          </w:tcPr>
          <w:p>
            <w:pPr>
              <w:spacing w:after="40" w:line="260" w:lineRule="auto"/>
            </w:pPr>
            <w:r>
              <w:rPr>
                <w:rFonts w:ascii="Calibri" w:cs="Calibri" w:eastAsia="Calibri" w:hAnsi="Calibri"/>
                <w:b/>
                <w:bCs/>
                <w:sz w:val="19"/>
                <w:szCs w:val="19"/>
              </w:rPr>
              <w:t xml:space="preserve">Plausible but unfaithful explanations</w:t>
            </w:r>
          </w:p>
        </w:tc>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0" w:lineRule="auto"/>
            </w:pPr>
            <w:r>
              <w:rPr>
                <w:rFonts w:ascii="Calibri" w:cs="Calibri" w:eastAsia="Calibri" w:hAnsi="Calibri"/>
                <w:b w:val="false"/>
                <w:bCs w:val="false"/>
                <w:sz w:val="19"/>
                <w:szCs w:val="19"/>
              </w:rPr>
              <w:t xml:space="preserve">Readable explanations may not reflect the model.</w:t>
            </w:r>
          </w:p>
        </w:tc>
        <w:tc>
          <w:tcPr>
            <w:tcW w:type="dxa" w:w="3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0" w:lineRule="auto"/>
            </w:pPr>
            <w:r>
              <w:rPr>
                <w:rFonts w:ascii="Calibri" w:cs="Calibri" w:eastAsia="Calibri" w:hAnsi="Calibri"/>
                <w:b w:val="false"/>
                <w:bCs w:val="false"/>
                <w:sz w:val="19"/>
                <w:szCs w:val="19"/>
              </w:rPr>
              <w:t xml:space="preserve">Evaluate fidelity and stability quantitatively (Section 7).</w:t>
            </w:r>
          </w:p>
        </w:tc>
      </w:tr>
      <w:tr>
        <w:trPr>
          <w:cantSplit/>
        </w:trPr>
        <w:tc>
          <w:tcPr>
            <w:tcW w:type="dxa" w:w="2400"/>
            <w:tcBorders>
              <w:top w:val="single" w:color="BFBFBF" w:sz="4"/>
              <w:left w:val="single" w:color="BFBFBF" w:sz="4"/>
              <w:bottom w:val="single" w:color="BFBFBF" w:sz="4"/>
              <w:right w:val="single" w:color="BFBFBF" w:sz="4"/>
            </w:tcBorders>
            <w:shd w:fill="F8EDED" w:color="auto" w:val="clear"/>
            <w:tcMar>
              <w:top w:type="dxa" w:w="70"/>
              <w:left w:type="dxa" w:w="110"/>
              <w:bottom w:type="dxa" w:w="70"/>
              <w:right w:type="dxa" w:w="110"/>
            </w:tcMar>
            <w:vAlign w:val="top"/>
          </w:tcPr>
          <w:p>
            <w:pPr>
              <w:spacing w:after="40" w:line="260" w:lineRule="auto"/>
            </w:pPr>
            <w:r>
              <w:rPr>
                <w:rFonts w:ascii="Calibri" w:cs="Calibri" w:eastAsia="Calibri" w:hAnsi="Calibri"/>
                <w:b/>
                <w:bCs/>
                <w:sz w:val="19"/>
                <w:szCs w:val="19"/>
              </w:rPr>
              <w:t xml:space="preserve">Uncertainty under temporal shift</w:t>
            </w:r>
          </w:p>
        </w:tc>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0" w:lineRule="auto"/>
            </w:pPr>
            <w:r>
              <w:rPr>
                <w:rFonts w:ascii="Calibri" w:cs="Calibri" w:eastAsia="Calibri" w:hAnsi="Calibri"/>
                <w:b w:val="false"/>
                <w:bCs w:val="false"/>
                <w:sz w:val="19"/>
                <w:szCs w:val="19"/>
              </w:rPr>
              <w:t xml:space="preserve">Calibration and coverage guarantees may degrade when data drifts over time.</w:t>
            </w:r>
          </w:p>
        </w:tc>
        <w:tc>
          <w:tcPr>
            <w:tcW w:type="dxa" w:w="3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0" w:lineRule="auto"/>
            </w:pPr>
            <w:r>
              <w:rPr>
                <w:rFonts w:ascii="Calibri" w:cs="Calibri" w:eastAsia="Calibri" w:hAnsi="Calibri"/>
                <w:b w:val="false"/>
                <w:bCs w:val="false"/>
                <w:sz w:val="19"/>
                <w:szCs w:val="19"/>
              </w:rPr>
              <w:t xml:space="preserve">Evaluate on time-based splits and report coverage honestly.</w:t>
            </w:r>
          </w:p>
        </w:tc>
      </w:tr>
      <w:tr>
        <w:trPr>
          <w:cantSplit/>
        </w:trPr>
        <w:tc>
          <w:tcPr>
            <w:tcW w:type="dxa" w:w="2400"/>
            <w:tcBorders>
              <w:top w:val="single" w:color="BFBFBF" w:sz="4"/>
              <w:left w:val="single" w:color="BFBFBF" w:sz="4"/>
              <w:bottom w:val="single" w:color="BFBFBF" w:sz="4"/>
              <w:right w:val="single" w:color="BFBFBF" w:sz="4"/>
            </w:tcBorders>
            <w:shd w:fill="F8EDED" w:color="auto" w:val="clear"/>
            <w:tcMar>
              <w:top w:type="dxa" w:w="70"/>
              <w:left w:type="dxa" w:w="110"/>
              <w:bottom w:type="dxa" w:w="70"/>
              <w:right w:type="dxa" w:w="110"/>
            </w:tcMar>
            <w:vAlign w:val="top"/>
          </w:tcPr>
          <w:p>
            <w:pPr>
              <w:spacing w:after="40" w:line="260" w:lineRule="auto"/>
            </w:pPr>
            <w:r>
              <w:rPr>
                <w:rFonts w:ascii="Calibri" w:cs="Calibri" w:eastAsia="Calibri" w:hAnsi="Calibri"/>
                <w:b/>
                <w:bCs/>
                <w:sz w:val="19"/>
                <w:szCs w:val="19"/>
              </w:rPr>
              <w:t xml:space="preserve">Novelty not yet verified</w:t>
            </w:r>
          </w:p>
        </w:tc>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0" w:lineRule="auto"/>
            </w:pPr>
            <w:r>
              <w:rPr>
                <w:rFonts w:ascii="Calibri" w:cs="Calibri" w:eastAsia="Calibri" w:hAnsi="Calibri"/>
                <w:b w:val="false"/>
                <w:bCs w:val="false"/>
                <w:sz w:val="19"/>
                <w:szCs w:val="19"/>
              </w:rPr>
              <w:t xml:space="preserve">Related work may already cover parts of the contribution.</w:t>
            </w:r>
          </w:p>
        </w:tc>
        <w:tc>
          <w:tcPr>
            <w:tcW w:type="dxa" w:w="3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0" w:lineRule="auto"/>
            </w:pPr>
            <w:r>
              <w:rPr>
                <w:rFonts w:ascii="Calibri" w:cs="Calibri" w:eastAsia="Calibri" w:hAnsi="Calibri"/>
                <w:b w:val="false"/>
                <w:bCs w:val="false"/>
                <w:sz w:val="19"/>
                <w:szCs w:val="19"/>
              </w:rPr>
              <w:t xml:space="preserve">Complete a systematic literature review before fixing the paper’s claims.</w:t>
            </w:r>
          </w:p>
        </w:tc>
      </w:tr>
      <w:tr>
        <w:trPr>
          <w:cantSplit/>
        </w:trPr>
        <w:tc>
          <w:tcPr>
            <w:tcW w:type="dxa" w:w="2400"/>
            <w:tcBorders>
              <w:top w:val="single" w:color="BFBFBF" w:sz="4"/>
              <w:left w:val="single" w:color="BFBFBF" w:sz="4"/>
              <w:bottom w:val="single" w:color="BFBFBF" w:sz="4"/>
              <w:right w:val="single" w:color="BFBFBF" w:sz="4"/>
            </w:tcBorders>
            <w:shd w:fill="F8EDED" w:color="auto" w:val="clear"/>
            <w:tcMar>
              <w:top w:type="dxa" w:w="70"/>
              <w:left w:type="dxa" w:w="110"/>
              <w:bottom w:type="dxa" w:w="70"/>
              <w:right w:type="dxa" w:w="110"/>
            </w:tcMar>
            <w:vAlign w:val="top"/>
          </w:tcPr>
          <w:p>
            <w:pPr>
              <w:spacing w:after="40" w:line="260" w:lineRule="auto"/>
            </w:pPr>
            <w:r>
              <w:rPr>
                <w:rFonts w:ascii="Calibri" w:cs="Calibri" w:eastAsia="Calibri" w:hAnsi="Calibri"/>
                <w:b/>
                <w:bCs/>
                <w:sz w:val="19"/>
                <w:szCs w:val="19"/>
              </w:rPr>
              <w:t xml:space="preserve">Human evaluation cost</w:t>
            </w:r>
          </w:p>
        </w:tc>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0" w:lineRule="auto"/>
            </w:pPr>
            <w:r>
              <w:rPr>
                <w:rFonts w:ascii="Calibri" w:cs="Calibri" w:eastAsia="Calibri" w:hAnsi="Calibri"/>
                <w:b w:val="false"/>
                <w:bCs w:val="false"/>
                <w:sz w:val="19"/>
                <w:szCs w:val="19"/>
              </w:rPr>
              <w:t xml:space="preserve">A rating study needs participants, a protocol and possibly institutional approval.</w:t>
            </w:r>
          </w:p>
        </w:tc>
        <w:tc>
          <w:tcPr>
            <w:tcW w:type="dxa" w:w="3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0" w:lineRule="auto"/>
            </w:pPr>
            <w:r>
              <w:rPr>
                <w:rFonts w:ascii="Calibri" w:cs="Calibri" w:eastAsia="Calibri" w:hAnsi="Calibri"/>
                <w:b w:val="false"/>
                <w:bCs w:val="false"/>
                <w:sz w:val="19"/>
                <w:szCs w:val="19"/>
              </w:rPr>
              <w:t xml:space="preserve">Define the protocol early and keep the study small and structured.</w:t>
            </w:r>
          </w:p>
        </w:tc>
      </w:tr>
    </w:tbl>
    <w:p>
      <w:pPr>
        <w:pStyle w:val="Heading2"/>
        <w:keepNext/>
        <w:spacing w:after="100" w:before="240"/>
      </w:pPr>
      <w:r>
        <w:rPr>
          <w:rFonts w:ascii="Calibri" w:cs="Calibri" w:eastAsia="Calibri" w:hAnsi="Calibri"/>
          <w:b/>
          <w:bCs/>
          <w:color w:val="8E2B2B"/>
          <w:sz w:val="25"/>
          <w:szCs w:val="25"/>
        </w:rPr>
        <w:t xml:space="preserve">Open decisions</w:t>
      </w:r>
    </w:p>
    <w:p>
      <w:pPr>
        <w:pStyle w:val="ListParagraph"/>
        <w:numPr>
          <w:ilvl w:val="0"/>
          <w:numId w:val="2"/>
        </w:numPr>
        <w:spacing w:after="60" w:line="276" w:lineRule="auto"/>
      </w:pPr>
      <w:r>
        <w:rPr>
          <w:rFonts w:ascii="Calibri" w:cs="Calibri" w:eastAsia="Calibri" w:hAnsi="Calibri"/>
          <w:sz w:val="21"/>
          <w:szCs w:val="21"/>
        </w:rPr>
        <w:t xml:space="preserve">Dataset sources, domain and region scope, and the label strategy.</w:t>
      </w:r>
    </w:p>
    <w:p>
      <w:pPr>
        <w:pStyle w:val="ListParagraph"/>
        <w:numPr>
          <w:ilvl w:val="0"/>
          <w:numId w:val="2"/>
        </w:numPr>
        <w:spacing w:after="60" w:line="276" w:lineRule="auto"/>
      </w:pPr>
      <w:r>
        <w:rPr>
          <w:rFonts w:ascii="Calibri" w:cs="Calibri" w:eastAsia="Calibri" w:hAnsi="Calibri"/>
          <w:sz w:val="21"/>
          <w:szCs w:val="21"/>
        </w:rPr>
        <w:t xml:space="preserve">Which attribution and uncertainty methods enter the main comparison.</w:t>
      </w:r>
    </w:p>
    <w:p>
      <w:pPr>
        <w:pStyle w:val="ListParagraph"/>
        <w:numPr>
          <w:ilvl w:val="0"/>
          <w:numId w:val="2"/>
        </w:numPr>
        <w:spacing w:after="60" w:line="276" w:lineRule="auto"/>
      </w:pPr>
      <w:r>
        <w:rPr>
          <w:rFonts w:ascii="Calibri" w:cs="Calibri" w:eastAsia="Calibri" w:hAnsi="Calibri"/>
          <w:sz w:val="21"/>
          <w:szCs w:val="21"/>
        </w:rPr>
        <w:t xml:space="preserve">Design of the human interpretability study.</w:t>
      </w:r>
    </w:p>
    <w:p>
      <w:pPr>
        <w:pStyle w:val="ListParagraph"/>
        <w:numPr>
          <w:ilvl w:val="0"/>
          <w:numId w:val="2"/>
        </w:numPr>
        <w:spacing w:after="60" w:line="276" w:lineRule="auto"/>
      </w:pPr>
      <w:r>
        <w:rPr>
          <w:rFonts w:ascii="Calibri" w:cs="Calibri" w:eastAsia="Calibri" w:hAnsi="Calibri"/>
          <w:sz w:val="21"/>
          <w:szCs w:val="21"/>
        </w:rPr>
        <w:t xml:space="preserve">Authorship policy for both papers, agreed with the supervisor.</w:t>
      </w:r>
    </w:p>
    <w:p>
      <w:pPr>
        <w:pStyle w:val="ListParagraph"/>
        <w:numPr>
          <w:ilvl w:val="0"/>
          <w:numId w:val="2"/>
        </w:numPr>
        <w:spacing w:after="60" w:line="276" w:lineRule="auto"/>
      </w:pPr>
      <w:r>
        <w:rPr>
          <w:rFonts w:ascii="Calibri" w:cs="Calibri" w:eastAsia="Calibri" w:hAnsi="Calibri"/>
          <w:sz w:val="21"/>
          <w:szCs w:val="21"/>
        </w:rPr>
        <w:t xml:space="preserve">Shortlist of target venues for Paper 2.</w:t>
      </w:r>
    </w:p>
    <w:sectPr>
      <w:headerReference w:type="default" r:id="rId8"/>
      <w:footerReference w:type="default" r:id="rId9"/>
      <w:pgSz w:w="11906" w:h="16838"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E2B2B" w:sz="8" w:space="4"/>
      </w:pBdr>
      <w:spacing w:after="0"/>
    </w:pPr>
    <w:r>
      <w:rPr>
        <w:rFonts w:ascii="Calibri" w:cs="Calibri" w:eastAsia="Calibri" w:hAnsi="Calibri"/>
        <w:b/>
        <w:bCs/>
        <w:color w:val="8E2B2B"/>
        <w:sz w:val="17"/>
        <w:szCs w:val="17"/>
      </w:rPr>
      <w:t xml:space="preserve">DOCUMENT 2 — INDIVIDUAL RESEARCH CONTRIBUTION</w:t>
    </w:r>
    <w:r>
      <w:rPr>
        <w:rFonts w:ascii="Calibri" w:cs="Calibri" w:eastAsia="Calibri" w:hAnsi="Calibri"/>
        <w:color w:val="595959"/>
        <w:sz w:val="16"/>
        <w:szCs w:val="16"/>
      </w:rPr>
      <w:t xml:space="preserve">    Explainable Multimodal Early-Warning System for Supply-Chain Disruptions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Calibri" w:cs="Calibri" w:eastAsia="Calibri" w:hAnsi="Calibri"/>
      <w:b/>
      <w:bCs/>
      <w:sz w:val="30"/>
      <w:szCs w:val="30"/>
    </w:rPr>
  </w:style>
  <w:style w:type="paragraph" w:styleId="Heading2">
    <w:name w:val="Heading 2"/>
    <w:basedOn w:val="Normal"/>
    <w:next w:val="Normal"/>
    <w:qFormat/>
    <w:pPr>
      <w:spacing w:after="100" w:before="240"/>
      <w:outlineLvl w:val="1"/>
    </w:pPr>
    <w:rPr>
      <w:rFonts w:ascii="Calibri" w:cs="Calibri" w:eastAsia="Calibri" w:hAnsi="Calibri"/>
      <w:b/>
      <w:bCs/>
      <w:sz w:val="25"/>
      <w:szCs w:val="25"/>
    </w:rPr>
  </w:style>
  <w:style w:type="paragraph" w:styleId="Heading3">
    <w:name w:val="Heading 3"/>
    <w:basedOn w:val="Normal"/>
    <w:next w:val="Normal"/>
    <w:qFormat/>
    <w:pPr>
      <w:spacing w:after="80" w:before="180"/>
      <w:outlineLvl w:val="2"/>
    </w:pPr>
    <w:rPr>
      <w:rFonts w:ascii="Calibri" w:cs="Calibri" w:eastAsia="Calibri" w:hAnsi="Calibri"/>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image" Target="media/98d99feb0f076724cf43863ee61ad88ec3b6eee6.png"/><Relationship Id="rId11" Type="http://schemas.openxmlformats.org/officeDocument/2006/relationships/image" Target="media/4da0fa3f01cb3fa81da4a49af1869a672f6d199d.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Evidence-Grounded Cross-Modal Explainability and Uncertainty-Aware Early Warning</dc:title>
  <dc:creator>Person 5</dc:creator>
  <cp:lastModifiedBy>Un-named</cp:lastModifiedBy>
  <cp:revision>1</cp:revision>
  <dcterms:created xsi:type="dcterms:W3CDTF">2026-10-02T07:02:19.049Z</dcterms:created>
  <dcterms:modified xsi:type="dcterms:W3CDTF">2026-10-02T07:02:19.049Z</dcterms:modified>
</cp:coreProperties>
</file>

<file path=docProps/custom.xml><?xml version="1.0" encoding="utf-8"?>
<Properties xmlns="http://schemas.openxmlformats.org/officeDocument/2006/custom-properties" xmlns:vt="http://schemas.openxmlformats.org/officeDocument/2006/docPropsVTypes"/>
</file>