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38479">
      <w:pPr>
        <w:pStyle w:val="2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2026年智能专题工作计划提案</w:t>
      </w:r>
    </w:p>
    <w:p w14:paraId="2444393B">
      <w:pPr>
        <w:pStyle w:val="3"/>
        <w:rPr>
          <w:rFonts w:hint="eastAsia"/>
        </w:rPr>
      </w:pPr>
      <w:r>
        <w:t>一、工作目标</w:t>
      </w:r>
    </w:p>
    <w:p w14:paraId="24B94079">
      <w:pPr>
        <w:pStyle w:val="4"/>
        <w:ind w:left="400"/>
        <w:rPr>
          <w:lang w:bidi="ar"/>
        </w:rPr>
      </w:pPr>
      <w:r>
        <w:rPr>
          <w:rFonts w:hint="eastAsia"/>
          <w:lang w:bidi="ar"/>
        </w:rPr>
        <w:t>1. 提升室组成员AI能力</w:t>
      </w:r>
    </w:p>
    <w:p w14:paraId="390C90C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当前室组已有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XX名同时具备XX平台</w:t>
      </w:r>
      <w:r>
        <w:rPr>
          <w:rFonts w:ascii="宋体" w:hAnsi="宋体" w:eastAsia="宋体" w:cs="宋体"/>
          <w:sz w:val="24"/>
          <w:szCs w:val="24"/>
        </w:rPr>
        <w:t>开发部署能力。以此为基础，推动全体室组成员实现从传统代码开发模式向智能化开发模式转型，全面提升团队AI技术应用与创新能力，适配业务智能化发展需求。</w:t>
      </w:r>
    </w:p>
    <w:p w14:paraId="3DDF7163">
      <w:pPr>
        <w:pStyle w:val="4"/>
        <w:ind w:left="400"/>
        <w:rPr>
          <w:rFonts w:hint="eastAsia"/>
          <w:lang w:bidi="ar"/>
        </w:rPr>
      </w:pPr>
      <w:r>
        <w:rPr>
          <w:rFonts w:hint="eastAsia"/>
          <w:lang w:bidi="ar"/>
        </w:rPr>
        <w:t xml:space="preserve">2. </w:t>
      </w:r>
      <w:r>
        <w:rPr>
          <w:lang w:bidi="ar"/>
        </w:rPr>
        <w:t>推动业务AI场景落地</w:t>
      </w:r>
    </w:p>
    <w:p w14:paraId="5DC9246F">
      <w:pPr>
        <w:pStyle w:val="9"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2026年度AI工作项共</w:t>
      </w:r>
      <w:r>
        <w:rPr>
          <w:rFonts w:hint="eastAsia" w:ascii="宋体" w:hAnsi="宋体" w:eastAsia="宋体" w:cs="宋体"/>
          <w:lang w:val="en-US" w:eastAsia="zh-CN"/>
        </w:rPr>
        <w:t>XX</w:t>
      </w:r>
      <w:r>
        <w:rPr>
          <w:rFonts w:hint="eastAsia" w:ascii="宋体" w:hAnsi="宋体" w:eastAsia="宋体" w:cs="宋体"/>
        </w:rPr>
        <w:t>项，其中高、中价值AI工作项</w:t>
      </w:r>
      <w:r>
        <w:rPr>
          <w:rFonts w:hint="eastAsia" w:ascii="宋体" w:hAnsi="宋体" w:eastAsia="宋体" w:cs="宋体"/>
          <w:lang w:val="en-US" w:eastAsia="zh-CN"/>
        </w:rPr>
        <w:t>XX</w:t>
      </w:r>
      <w:r>
        <w:rPr>
          <w:rFonts w:hint="eastAsia" w:ascii="宋体" w:hAnsi="宋体" w:eastAsia="宋体" w:cs="宋体"/>
        </w:rPr>
        <w:t>项，低价值AI工作项</w:t>
      </w:r>
      <w:r>
        <w:rPr>
          <w:rFonts w:hint="eastAsia" w:ascii="宋体" w:hAnsi="宋体" w:eastAsia="宋体" w:cs="宋体"/>
          <w:lang w:val="en-US" w:eastAsia="zh-CN"/>
        </w:rPr>
        <w:t>XX</w:t>
      </w:r>
      <w:bookmarkStart w:id="0" w:name="_GoBack"/>
      <w:bookmarkEnd w:id="0"/>
      <w:r>
        <w:rPr>
          <w:rFonts w:hint="eastAsia" w:ascii="宋体" w:hAnsi="宋体" w:eastAsia="宋体" w:cs="宋体"/>
        </w:rPr>
        <w:t>项。依托本次智能专题工作，助力各类业务AI场景落地实施，重点攻克通识性关键技术难点（如影像多页多套处理等），推动技术共建共享，提升业务处理效率与智能化水平。</w:t>
      </w:r>
    </w:p>
    <w:p w14:paraId="67311D9D">
      <w:pPr>
        <w:pStyle w:val="4"/>
        <w:ind w:left="400"/>
        <w:rPr>
          <w:rFonts w:hint="eastAsia"/>
          <w:lang w:bidi="ar"/>
        </w:rPr>
      </w:pPr>
      <w:r>
        <w:rPr>
          <w:rFonts w:hint="eastAsia"/>
          <w:lang w:bidi="ar"/>
        </w:rPr>
        <w:t xml:space="preserve">3. </w:t>
      </w:r>
      <w:r>
        <w:rPr>
          <w:lang w:bidi="ar"/>
        </w:rPr>
        <w:t>推动室</w:t>
      </w:r>
      <w:r>
        <w:rPr>
          <w:rFonts w:hint="eastAsia"/>
          <w:lang w:bidi="ar"/>
        </w:rPr>
        <w:t>组</w:t>
      </w:r>
      <w:r>
        <w:rPr>
          <w:lang w:bidi="ar"/>
        </w:rPr>
        <w:t>AI知识沉淀工作</w:t>
      </w:r>
    </w:p>
    <w:p w14:paraId="2AF208E9">
      <w:pPr>
        <w:pStyle w:val="9"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立规范化、体系化的AI知识文档沉淀机制，形成可直接复用的操作指南与技术手册，方便室内开发人员快速上手应用；同时向片区及团队输出AI技术赋能，提升本室组在AI领域的专业影响力，形成技术沉淀、复用、赋能的良性循环。</w:t>
      </w:r>
    </w:p>
    <w:p w14:paraId="5111773D">
      <w:pPr>
        <w:pStyle w:val="3"/>
        <w:spacing w:line="360" w:lineRule="auto"/>
        <w:rPr>
          <w:lang w:bidi="ar"/>
        </w:rPr>
      </w:pPr>
      <w:r>
        <w:rPr>
          <w:rFonts w:hint="eastAsia"/>
          <w:lang w:bidi="ar"/>
        </w:rPr>
        <w:t>二、主要工作</w:t>
      </w:r>
    </w:p>
    <w:p w14:paraId="76191421">
      <w:pPr>
        <w:pStyle w:val="4"/>
        <w:ind w:left="400"/>
        <w:rPr>
          <w:rFonts w:eastAsia="Times New Roman" w:cs="Times New Roman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数据集建设：产出可用数据集，支撑微调与评</w:t>
      </w:r>
      <w:r>
        <w:t>测</w:t>
      </w:r>
      <w:r>
        <w:rPr>
          <w:rFonts w:hint="eastAsia"/>
        </w:rPr>
        <w:t>。</w:t>
      </w:r>
    </w:p>
    <w:p w14:paraId="007EFF46">
      <w:pPr>
        <w:pStyle w:val="9"/>
        <w:spacing w:line="360" w:lineRule="auto"/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/>
        </w:rPr>
        <w:t>工作项1—数据采集：</w:t>
      </w:r>
      <w:r>
        <w:rPr>
          <w:rFonts w:hint="eastAsia" w:ascii="宋体" w:hAnsi="宋体" w:eastAsia="宋体" w:cs="宋体"/>
        </w:rPr>
        <w:t>结合汇款、单证、结售汇等核心产品的智能化业务场景，定向采集大模型训练所需数据。采集的数据集需紧密贴合模型训练核心任务（如影像分类、结构解析、关键信息抽取等）；同步构建评测数据集，全面覆盖模型各类能力维度，确保与后续模型训练、评测工作同频同步，为模型优化提供精准支撑。</w:t>
      </w:r>
    </w:p>
    <w:p w14:paraId="4B54B4A1">
      <w:pPr>
        <w:pStyle w:val="9"/>
        <w:spacing w:line="360" w:lineRule="auto"/>
        <w:ind w:firstLine="480" w:firstLineChars="200"/>
      </w:pPr>
      <w:r>
        <w:rPr>
          <w:rFonts w:hint="eastAsia" w:ascii="宋体" w:hAnsi="宋体" w:eastAsia="宋体" w:cs="宋体"/>
          <w:b/>
          <w:bCs/>
          <w:lang w:val="en-US"/>
        </w:rPr>
        <w:t>工作项2—</w:t>
      </w:r>
      <w:r>
        <w:rPr>
          <w:rFonts w:hint="eastAsia" w:ascii="宋体" w:hAnsi="宋体" w:eastAsia="宋体" w:cs="宋体"/>
          <w:b/>
          <w:bCs/>
        </w:rPr>
        <w:t>数据清洗：</w:t>
      </w:r>
      <w:r>
        <w:rPr>
          <w:rFonts w:hint="eastAsia" w:ascii="宋体" w:hAnsi="宋体" w:eastAsia="宋体" w:cs="宋体"/>
        </w:rPr>
        <w:t>明确数据集格式规范、标注标准（含分类标签、抽取字段、解析规则等），制定数据清洗、去重、脱敏的具体操作规范，严格规避数据混乱、冗余、敏感信息泄露等问题，确保数据集的规范性、一致性和安全性，满足模型训练与评测的高质量要求。</w:t>
      </w:r>
    </w:p>
    <w:p w14:paraId="0F5A0116">
      <w:pPr>
        <w:pStyle w:val="4"/>
        <w:ind w:leftChars="100" w:firstLine="197" w:firstLineChars="82"/>
      </w:pPr>
      <w:r>
        <w:rPr>
          <w:rFonts w:hint="eastAsia"/>
        </w:rPr>
        <w:t>2. 模型训练：聚焦模型短板，强化训练优</w:t>
      </w:r>
      <w:r>
        <w:t>化</w:t>
      </w:r>
      <w:r>
        <w:rPr>
          <w:rFonts w:hint="eastAsia"/>
        </w:rPr>
        <w:t>。</w:t>
      </w:r>
    </w:p>
    <w:p w14:paraId="5ABC219E">
      <w:pPr>
        <w:pStyle w:val="5"/>
        <w:ind w:left="400"/>
        <w:rPr>
          <w:rFonts w:hint="eastAsia"/>
        </w:rPr>
      </w:pPr>
      <w:r>
        <w:rPr>
          <w:rFonts w:hint="eastAsia"/>
        </w:rPr>
        <w:t>2.1基础训练能力提升</w:t>
      </w:r>
    </w:p>
    <w:p w14:paraId="15843C9E">
      <w:pPr>
        <w:spacing w:before="100" w:beforeAutospacing="1" w:after="100" w:afterAutospacing="1"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工作项1—模型</w:t>
      </w:r>
      <w:r>
        <w:rPr>
          <w:rFonts w:ascii="宋体" w:hAnsi="宋体" w:eastAsia="宋体" w:cs="宋体"/>
          <w:b/>
          <w:bCs/>
          <w:sz w:val="24"/>
          <w:szCs w:val="24"/>
        </w:rPr>
        <w:t>短板定位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通过基础测试全面评估模型性能，结合测试结果精准定位核心短板，如梳理分类任务中特定类别准确率偏低、解析任务中复杂结构解析出错、抽取任务中关键信息漏抽/误抽，以及模型推理速度慢、部署成本高、泛化能力弱等突出问题。</w:t>
      </w:r>
    </w:p>
    <w:p w14:paraId="0D164993">
      <w:pPr>
        <w:spacing w:before="100" w:beforeAutospacing="1" w:after="100" w:afterAutospacing="1"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工作项2—专项训练方案制定</w:t>
      </w:r>
      <w:r>
        <w:rPr>
          <w:rFonts w:hint="eastAsia" w:ascii="宋体" w:hAnsi="宋体" w:eastAsia="宋体" w:cs="宋体"/>
          <w:sz w:val="24"/>
          <w:szCs w:val="24"/>
        </w:rPr>
        <w:t>：结合数据集建设成果，针对定位的模型短板，制定针对性专项训练方案，明确各训练任务的优先级、技术方法、时间节点及预期目标，确保训练工作有序推进、落地见效。</w:t>
      </w:r>
    </w:p>
    <w:p w14:paraId="747CFC38">
      <w:pPr>
        <w:spacing w:before="100" w:beforeAutospacing="1" w:after="100" w:afterAutospacing="1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工作项3—训练过程监控与调整</w:t>
      </w:r>
      <w:r>
        <w:rPr>
          <w:rFonts w:hint="eastAsia" w:ascii="宋体" w:hAnsi="宋体" w:eastAsia="宋体" w:cs="宋体"/>
          <w:sz w:val="24"/>
          <w:szCs w:val="24"/>
        </w:rPr>
        <w:t>：建立完善的训练日志体系，实时监控训练过程中的损失值、准确率等核心指标，根据训练情况及时调整学习率、迭代次数、batch size等关键参数；定期开展模型验证，对比训练前后性能变化，确保训练效果达到预期标准。</w:t>
      </w:r>
    </w:p>
    <w:p w14:paraId="4CA845A9">
      <w:pPr>
        <w:pStyle w:val="5"/>
        <w:ind w:left="400"/>
        <w:rPr>
          <w:rFonts w:hint="eastAsia"/>
        </w:rPr>
      </w:pPr>
      <w:r>
        <w:rPr>
          <w:rFonts w:hint="eastAsia"/>
        </w:rPr>
        <w:t>2.2进阶能力</w:t>
      </w:r>
    </w:p>
    <w:p w14:paraId="6AED38CF">
      <w:pPr>
        <w:spacing w:before="100" w:beforeAutospacing="1" w:after="100" w:afterAutospacing="1"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工作项1—</w:t>
      </w:r>
      <w:r>
        <w:rPr>
          <w:rFonts w:ascii="宋体" w:hAnsi="宋体" w:eastAsia="宋体" w:cs="宋体"/>
          <w:b/>
          <w:bCs/>
          <w:sz w:val="24"/>
          <w:szCs w:val="24"/>
        </w:rPr>
        <w:t>强化学习：</w:t>
      </w:r>
      <w:r>
        <w:rPr>
          <w:rFonts w:hint="eastAsia" w:ascii="宋体" w:hAnsi="宋体" w:eastAsia="宋体" w:cs="宋体"/>
          <w:sz w:val="24"/>
          <w:szCs w:val="24"/>
        </w:rPr>
        <w:t>针对模型输出结果与业务实际需求的偏差，设计科学合理的奖励机制，以业务目标为核心导向，通过强化学习优化模型决策逻辑，持续提升模型的实用性与业务适配性。</w:t>
      </w:r>
    </w:p>
    <w:p w14:paraId="65EF3A6D">
      <w:pPr>
        <w:spacing w:before="100" w:beforeAutospacing="1" w:after="100" w:afterAutospacing="1"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工作项2—</w:t>
      </w:r>
      <w:r>
        <w:rPr>
          <w:rFonts w:ascii="宋体" w:hAnsi="宋体" w:eastAsia="宋体" w:cs="宋体"/>
          <w:b/>
          <w:bCs/>
          <w:sz w:val="24"/>
          <w:szCs w:val="24"/>
        </w:rPr>
        <w:t>模型蒸馏：</w:t>
      </w:r>
      <w:r>
        <w:rPr>
          <w:rFonts w:ascii="宋体" w:hAnsi="宋体" w:eastAsia="宋体" w:cs="宋体"/>
          <w:sz w:val="24"/>
          <w:szCs w:val="24"/>
        </w:rPr>
        <w:t>将大模型的知识迁移到小模型中，在保证模型性能基本不下降的前提下，压缩模型体积、提升推理速度，降低模型部署的硬件成本，满足实际应用场景的部署需求。</w:t>
      </w:r>
    </w:p>
    <w:p w14:paraId="2F0ED02A">
      <w:pPr>
        <w:pStyle w:val="4"/>
        <w:ind w:left="400"/>
        <w:rPr>
          <w:rFonts w:eastAsia="Times New Roman" w:cs="Times New Roman"/>
        </w:rPr>
      </w:pPr>
      <w:r>
        <w:t xml:space="preserve">3. </w:t>
      </w:r>
      <w:r>
        <w:rPr>
          <w:rFonts w:hint="eastAsia"/>
        </w:rPr>
        <w:t>建立完善体系，检验工作成</w:t>
      </w:r>
      <w:r>
        <w:t>效</w:t>
      </w:r>
      <w:r>
        <w:rPr>
          <w:rFonts w:hint="eastAsia"/>
        </w:rPr>
        <w:t>。</w:t>
      </w:r>
    </w:p>
    <w:p w14:paraId="4FDDA539">
      <w:pPr>
        <w:spacing w:before="100" w:beforeAutospacing="1" w:after="100" w:afterAutospacing="1"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工作项1—</w:t>
      </w:r>
      <w:r>
        <w:rPr>
          <w:rFonts w:ascii="宋体" w:hAnsi="宋体" w:eastAsia="宋体" w:cs="宋体"/>
          <w:b/>
          <w:bCs/>
          <w:sz w:val="24"/>
          <w:szCs w:val="24"/>
        </w:rPr>
        <w:t>自动化评测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搭建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在确定评测维度的基础上（如分类查准率率、解析查准率、抽取召回率），搭</w:t>
      </w:r>
      <w:r>
        <w:rPr>
          <w:rFonts w:ascii="宋体" w:hAnsi="宋体" w:eastAsia="宋体" w:cs="宋体"/>
          <w:sz w:val="24"/>
          <w:szCs w:val="24"/>
        </w:rPr>
        <w:t>建评测工具和评测数据集，对模型进行自动化评测，重点检测模型在任务上的核心指标，记录评测结果，生成自动化评测报告，快速定位模型薄弱环节。</w:t>
      </w:r>
    </w:p>
    <w:p w14:paraId="7CF621DA">
      <w:pPr>
        <w:spacing w:before="100" w:beforeAutospacing="1" w:after="100" w:afterAutospacing="1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工作项2—数据回流与</w:t>
      </w:r>
      <w:r>
        <w:rPr>
          <w:rFonts w:ascii="宋体" w:hAnsi="宋体" w:eastAsia="宋体" w:cs="宋体"/>
          <w:b/>
          <w:bCs/>
          <w:sz w:val="24"/>
          <w:szCs w:val="24"/>
        </w:rPr>
        <w:t>反馈优化：</w:t>
      </w:r>
      <w:r>
        <w:rPr>
          <w:rFonts w:hint="eastAsia" w:ascii="宋体" w:hAnsi="宋体" w:eastAsia="宋体" w:cs="宋体"/>
          <w:sz w:val="24"/>
          <w:szCs w:val="24"/>
        </w:rPr>
        <w:t>建立评测结果反馈机制，将自动化评测报告及时同步至数据集建设组与模型训练组，针对性指导数据集迭代更新（如补充薄弱场景样本、修正标注错误等）和模型训练优化（如调整训练参数、强化薄弱任务训练等），形成“评测-反馈-优化”的闭环管理，持续提升数据集质量与模型性能。</w:t>
      </w:r>
    </w:p>
    <w:p w14:paraId="7CB5D882">
      <w:pPr>
        <w:pStyle w:val="3"/>
        <w:spacing w:line="360" w:lineRule="auto"/>
        <w:rPr>
          <w:lang w:bidi="ar"/>
        </w:rPr>
      </w:pPr>
      <w:r>
        <w:rPr>
          <w:rFonts w:hint="eastAsia"/>
          <w:lang w:bidi="ar"/>
        </w:rPr>
        <w:t>三</w:t>
      </w:r>
      <w:r>
        <w:rPr>
          <w:lang w:bidi="ar"/>
        </w:rPr>
        <w:t>、</w:t>
      </w:r>
      <w:r>
        <w:rPr>
          <w:rFonts w:hint="eastAsia"/>
          <w:lang w:bidi="ar"/>
        </w:rPr>
        <w:t>专题回顾形式</w:t>
      </w:r>
    </w:p>
    <w:p w14:paraId="0E02EDA2">
      <w:pPr>
        <w:spacing w:before="100" w:beforeAutospacing="1" w:after="100" w:afterAutospacing="1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回顾机制：</w:t>
      </w:r>
      <w:r>
        <w:rPr>
          <w:rFonts w:ascii="宋体" w:hAnsi="宋体" w:eastAsia="宋体" w:cs="宋体"/>
          <w:sz w:val="24"/>
          <w:szCs w:val="24"/>
        </w:rPr>
        <w:t>月度专题回顾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B09556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每月收集各产品AI场景落地过程中的重点、难点问题，结合实际问题梳理下月调研目标与技术攻克方向，重点积累通识性关键技术，形成可复用的解决方案。</w:t>
      </w:r>
    </w:p>
    <w:p w14:paraId="5AA45F8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产出月度工作积累与技术分享内容，助力室组成员提升AI开发能力；筛选优秀实践案例，向中心及团队推荐，扩大技术影响力。</w:t>
      </w:r>
    </w:p>
    <w:p w14:paraId="243282CF">
      <w:pPr>
        <w:spacing w:before="100" w:beforeAutospacing="1" w:after="100" w:afterAutospacing="1" w:line="360" w:lineRule="auto"/>
        <w:rPr>
          <w:rFonts w:ascii="宋体" w:hAnsi="宋体" w:eastAsia="宋体" w:cs="宋体"/>
          <w:sz w:val="24"/>
          <w:szCs w:val="24"/>
        </w:rPr>
      </w:pPr>
    </w:p>
    <w:p w14:paraId="32E5092E">
      <w:pPr>
        <w:spacing w:before="100" w:beforeAutospacing="1" w:after="100" w:afterAutospacing="1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000915C">
      <w:pPr>
        <w:pStyle w:val="3"/>
        <w:spacing w:line="360" w:lineRule="auto"/>
        <w:rPr>
          <w:rFonts w:hint="eastAsia"/>
          <w:lang w:bidi="ar"/>
        </w:rPr>
      </w:pPr>
      <w:r>
        <w:rPr>
          <w:rFonts w:hint="eastAsia"/>
          <w:lang w:bidi="ar"/>
        </w:rPr>
        <w:t>四、积分奖励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701"/>
        <w:gridCol w:w="1843"/>
        <w:gridCol w:w="2456"/>
        <w:gridCol w:w="1705"/>
      </w:tblGrid>
      <w:tr w14:paraId="0634C010">
        <w:tc>
          <w:tcPr>
            <w:tcW w:w="817" w:type="dxa"/>
            <w:vAlign w:val="center"/>
          </w:tcPr>
          <w:p w14:paraId="090A643F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分数</w:t>
            </w:r>
          </w:p>
        </w:tc>
        <w:tc>
          <w:tcPr>
            <w:tcW w:w="1701" w:type="dxa"/>
            <w:vAlign w:val="center"/>
          </w:tcPr>
          <w:p w14:paraId="6EB46CAC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小组运作</w:t>
            </w:r>
          </w:p>
        </w:tc>
        <w:tc>
          <w:tcPr>
            <w:tcW w:w="1843" w:type="dxa"/>
            <w:vAlign w:val="center"/>
          </w:tcPr>
          <w:p w14:paraId="1AB9EDA2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认证类</w:t>
            </w:r>
          </w:p>
        </w:tc>
        <w:tc>
          <w:tcPr>
            <w:tcW w:w="2456" w:type="dxa"/>
            <w:vAlign w:val="center"/>
          </w:tcPr>
          <w:p w14:paraId="69DE2FF3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文竞类</w:t>
            </w:r>
          </w:p>
        </w:tc>
        <w:tc>
          <w:tcPr>
            <w:tcW w:w="1705" w:type="dxa"/>
            <w:vAlign w:val="center"/>
          </w:tcPr>
          <w:p w14:paraId="0BE25DCA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分享类</w:t>
            </w:r>
          </w:p>
        </w:tc>
      </w:tr>
      <w:tr w14:paraId="21D992E5">
        <w:tc>
          <w:tcPr>
            <w:tcW w:w="817" w:type="dxa"/>
            <w:vAlign w:val="center"/>
          </w:tcPr>
          <w:p w14:paraId="30B8E9B3">
            <w:pPr>
              <w:tabs>
                <w:tab w:val="left" w:pos="1291"/>
              </w:tabs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5分</w:t>
            </w:r>
          </w:p>
        </w:tc>
        <w:tc>
          <w:tcPr>
            <w:tcW w:w="1701" w:type="dxa"/>
            <w:vAlign w:val="center"/>
          </w:tcPr>
          <w:p w14:paraId="40EA413C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参与月度专题工作且有产出</w:t>
            </w:r>
          </w:p>
        </w:tc>
        <w:tc>
          <w:tcPr>
            <w:tcW w:w="1843" w:type="dxa"/>
            <w:vAlign w:val="center"/>
          </w:tcPr>
          <w:p w14:paraId="75D56007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行内人工智能初级认证</w:t>
            </w:r>
          </w:p>
        </w:tc>
        <w:tc>
          <w:tcPr>
            <w:tcW w:w="2456" w:type="dxa"/>
            <w:vAlign w:val="center"/>
          </w:tcPr>
          <w:p w14:paraId="15D1E674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发表AI相关文章</w:t>
            </w:r>
          </w:p>
        </w:tc>
        <w:tc>
          <w:tcPr>
            <w:tcW w:w="1705" w:type="dxa"/>
            <w:vAlign w:val="center"/>
          </w:tcPr>
          <w:p w14:paraId="3082B800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室内分享</w:t>
            </w:r>
          </w:p>
        </w:tc>
      </w:tr>
      <w:tr w14:paraId="678FCF61">
        <w:tc>
          <w:tcPr>
            <w:tcW w:w="817" w:type="dxa"/>
            <w:vAlign w:val="center"/>
          </w:tcPr>
          <w:p w14:paraId="5A55BBA0">
            <w:pPr>
              <w:tabs>
                <w:tab w:val="left" w:pos="1291"/>
              </w:tabs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10分</w:t>
            </w:r>
          </w:p>
        </w:tc>
        <w:tc>
          <w:tcPr>
            <w:tcW w:w="1701" w:type="dxa"/>
            <w:vAlign w:val="center"/>
          </w:tcPr>
          <w:p w14:paraId="260BC73D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承担专题工作大项牵头人</w:t>
            </w:r>
          </w:p>
        </w:tc>
        <w:tc>
          <w:tcPr>
            <w:tcW w:w="1843" w:type="dxa"/>
            <w:vAlign w:val="center"/>
          </w:tcPr>
          <w:p w14:paraId="2CE72808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行内人工智能中级认证</w:t>
            </w:r>
          </w:p>
        </w:tc>
        <w:tc>
          <w:tcPr>
            <w:tcW w:w="2456" w:type="dxa"/>
            <w:vAlign w:val="center"/>
          </w:tcPr>
          <w:p w14:paraId="3AF78F93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提交AI相关专利、创新之星、竞赛作品</w:t>
            </w:r>
          </w:p>
        </w:tc>
        <w:tc>
          <w:tcPr>
            <w:tcW w:w="1705" w:type="dxa"/>
            <w:vAlign w:val="center"/>
          </w:tcPr>
          <w:p w14:paraId="464BDDFB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片区分享</w:t>
            </w:r>
          </w:p>
        </w:tc>
      </w:tr>
      <w:tr w14:paraId="00123CA0">
        <w:tc>
          <w:tcPr>
            <w:tcW w:w="817" w:type="dxa"/>
            <w:vAlign w:val="center"/>
          </w:tcPr>
          <w:p w14:paraId="5B4CA0B5">
            <w:pPr>
              <w:tabs>
                <w:tab w:val="left" w:pos="1291"/>
              </w:tabs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15分</w:t>
            </w:r>
          </w:p>
        </w:tc>
        <w:tc>
          <w:tcPr>
            <w:tcW w:w="1701" w:type="dxa"/>
            <w:vAlign w:val="center"/>
          </w:tcPr>
          <w:p w14:paraId="25BE3325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</w:p>
        </w:tc>
        <w:tc>
          <w:tcPr>
            <w:tcW w:w="1843" w:type="dxa"/>
            <w:vAlign w:val="center"/>
          </w:tcPr>
          <w:p w14:paraId="0CBCE1CB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</w:p>
        </w:tc>
        <w:tc>
          <w:tcPr>
            <w:tcW w:w="2456" w:type="dxa"/>
            <w:vAlign w:val="center"/>
          </w:tcPr>
          <w:p w14:paraId="28C7F76D">
            <w:pPr>
              <w:jc w:val="center"/>
              <w:rPr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获得AI竞赛初赛</w:t>
            </w:r>
          </w:p>
          <w:p w14:paraId="452EE9EF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奖项</w:t>
            </w:r>
          </w:p>
        </w:tc>
        <w:tc>
          <w:tcPr>
            <w:tcW w:w="1705" w:type="dxa"/>
            <w:vAlign w:val="center"/>
          </w:tcPr>
          <w:p w14:paraId="33D150B7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团队分享</w:t>
            </w:r>
          </w:p>
        </w:tc>
      </w:tr>
      <w:tr w14:paraId="372AB12F">
        <w:tc>
          <w:tcPr>
            <w:tcW w:w="817" w:type="dxa"/>
            <w:vAlign w:val="center"/>
          </w:tcPr>
          <w:p w14:paraId="1DE3F263">
            <w:pPr>
              <w:tabs>
                <w:tab w:val="left" w:pos="1291"/>
              </w:tabs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20分</w:t>
            </w:r>
          </w:p>
        </w:tc>
        <w:tc>
          <w:tcPr>
            <w:tcW w:w="1701" w:type="dxa"/>
            <w:vAlign w:val="center"/>
          </w:tcPr>
          <w:p w14:paraId="4CD69156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</w:p>
        </w:tc>
        <w:tc>
          <w:tcPr>
            <w:tcW w:w="1843" w:type="dxa"/>
            <w:vAlign w:val="center"/>
          </w:tcPr>
          <w:p w14:paraId="5E92741F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</w:p>
        </w:tc>
        <w:tc>
          <w:tcPr>
            <w:tcW w:w="2456" w:type="dxa"/>
            <w:vAlign w:val="center"/>
          </w:tcPr>
          <w:p w14:paraId="337DA7F9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获得创新之星、竞赛复赛奖项</w:t>
            </w:r>
          </w:p>
        </w:tc>
        <w:tc>
          <w:tcPr>
            <w:tcW w:w="1705" w:type="dxa"/>
            <w:vAlign w:val="center"/>
          </w:tcPr>
          <w:p w14:paraId="76A1C5B5">
            <w:pPr>
              <w:jc w:val="center"/>
              <w:rPr>
                <w:rFonts w:hint="eastAsia"/>
                <w:sz w:val="24"/>
                <w:szCs w:val="24"/>
                <w:lang w:bidi="ar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中心分享</w:t>
            </w:r>
          </w:p>
        </w:tc>
      </w:tr>
    </w:tbl>
    <w:p w14:paraId="57FCE695">
      <w:pPr>
        <w:rPr>
          <w:rFonts w:hint="eastAsia"/>
          <w:lang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62F75"/>
    <w:multiLevelType w:val="multilevel"/>
    <w:tmpl w:val="3F962F7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1686"/>
    <w:rsid w:val="00014316"/>
    <w:rsid w:val="00043FB1"/>
    <w:rsid w:val="00047A6A"/>
    <w:rsid w:val="0009692D"/>
    <w:rsid w:val="000C2411"/>
    <w:rsid w:val="000E1A29"/>
    <w:rsid w:val="00121431"/>
    <w:rsid w:val="001C70D2"/>
    <w:rsid w:val="0020513E"/>
    <w:rsid w:val="002B6AE0"/>
    <w:rsid w:val="00327BCC"/>
    <w:rsid w:val="003847A9"/>
    <w:rsid w:val="004B473E"/>
    <w:rsid w:val="00530AA0"/>
    <w:rsid w:val="00582A78"/>
    <w:rsid w:val="005B33FD"/>
    <w:rsid w:val="005C585D"/>
    <w:rsid w:val="00640762"/>
    <w:rsid w:val="006E2098"/>
    <w:rsid w:val="007C2637"/>
    <w:rsid w:val="00913FA6"/>
    <w:rsid w:val="00920D4A"/>
    <w:rsid w:val="009660AD"/>
    <w:rsid w:val="009A5866"/>
    <w:rsid w:val="009E4A7F"/>
    <w:rsid w:val="009F1897"/>
    <w:rsid w:val="00A02101"/>
    <w:rsid w:val="00AA22D5"/>
    <w:rsid w:val="00AB7D95"/>
    <w:rsid w:val="00AF7572"/>
    <w:rsid w:val="00B61A5F"/>
    <w:rsid w:val="00C13F0C"/>
    <w:rsid w:val="00C54458"/>
    <w:rsid w:val="00C6722B"/>
    <w:rsid w:val="00C9707E"/>
    <w:rsid w:val="00D039B5"/>
    <w:rsid w:val="00E146D2"/>
    <w:rsid w:val="00E266FA"/>
    <w:rsid w:val="00E315C2"/>
    <w:rsid w:val="00E46BFF"/>
    <w:rsid w:val="00E518E1"/>
    <w:rsid w:val="00EA62F2"/>
    <w:rsid w:val="00ED0AF1"/>
    <w:rsid w:val="00EF3DBB"/>
    <w:rsid w:val="00F943D9"/>
    <w:rsid w:val="00FA1045"/>
    <w:rsid w:val="00FE149C"/>
    <w:rsid w:val="ADFE5B85"/>
    <w:rsid w:val="DFFFB14E"/>
    <w:rsid w:val="EFFF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2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after="260" w:line="415" w:lineRule="auto"/>
      <w:ind w:left="200" w:leftChars="200"/>
      <w:outlineLvl w:val="2"/>
    </w:pPr>
    <w:rPr>
      <w:rFonts w:ascii="Times New Roman" w:hAnsi="Times New Roman"/>
      <w:b/>
      <w:bCs/>
      <w:sz w:val="24"/>
      <w:szCs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60" w:after="260" w:line="377" w:lineRule="auto"/>
      <w:ind w:left="200" w:leftChars="200"/>
      <w:outlineLvl w:val="3"/>
    </w:pPr>
    <w:rPr>
      <w:rFonts w:ascii="Times New Roman" w:hAnsi="Times New Roman" w:eastAsiaTheme="majorEastAsia" w:cstheme="majorBidi"/>
      <w:b/>
      <w:bCs/>
      <w:sz w:val="24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ace-line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标题 3 字符"/>
    <w:basedOn w:val="8"/>
    <w:link w:val="4"/>
    <w:uiPriority w:val="0"/>
    <w:rPr>
      <w:rFonts w:eastAsiaTheme="minorEastAsia" w:cstheme="minorBidi"/>
      <w:b/>
      <w:bCs/>
      <w:sz w:val="24"/>
      <w:szCs w:val="32"/>
      <w:lang w:val="en-US"/>
    </w:rPr>
  </w:style>
  <w:style w:type="character" w:customStyle="1" w:styleId="11">
    <w:name w:val="标题 4 字符"/>
    <w:basedOn w:val="8"/>
    <w:link w:val="5"/>
    <w:uiPriority w:val="0"/>
    <w:rPr>
      <w:rFonts w:eastAsiaTheme="majorEastAsia" w:cstheme="majorBidi"/>
      <w:b/>
      <w:bCs/>
      <w:sz w:val="24"/>
      <w:szCs w:val="28"/>
      <w:lang w:val="en-US"/>
    </w:rPr>
  </w:style>
  <w:style w:type="paragraph" w:styleId="12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271B08-3C79-984E-A321-7DDCBA9AAF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276</Words>
  <Characters>1577</Characters>
  <Lines>13</Lines>
  <Paragraphs>3</Paragraphs>
  <TotalTime>103</TotalTime>
  <ScaleCrop>false</ScaleCrop>
  <LinksUpToDate>false</LinksUpToDate>
  <CharactersWithSpaces>1850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2026-03-29T04:26:00Z</dcterms:created>
  <dc:creator>lijunxin</dc:creator>
  <cp:lastModifiedBy>WPS_1661870752</cp:lastModifiedBy>
  <dcterms:modified xsi:type="dcterms:W3CDTF">2026-04-12T20:54:14Z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CE797DFC020AC4178158C769BABFE2E7_41</vt:lpwstr>
  </property>
</Properties>
</file>