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48"/>
          <w:szCs w:val="48"/>
        </w:rPr>
      </w:pPr>
      <w:bookmarkStart w:id="0" w:name="_GoBack"/>
      <w:bookmarkEnd w:id="0"/>
      <w:r>
        <w:rPr>
          <w:rFonts w:hint="eastAsia" w:ascii="宋体" w:hAnsi="宋体" w:eastAsia="宋体" w:cs="宋体"/>
          <w:b/>
          <w:bCs/>
          <w:sz w:val="48"/>
          <w:szCs w:val="48"/>
        </w:rPr>
        <w:t>新流保险代理（苏州）有限公司</w:t>
      </w:r>
    </w:p>
    <w:p>
      <w:pPr>
        <w:jc w:val="center"/>
        <w:rPr>
          <w:rFonts w:ascii="宋体" w:hAnsi="宋体" w:eastAsia="宋体" w:cs="宋体"/>
          <w:b/>
          <w:bCs/>
          <w:sz w:val="48"/>
          <w:szCs w:val="48"/>
        </w:rPr>
      </w:pPr>
      <w:r>
        <w:rPr>
          <w:rFonts w:hint="eastAsia" w:ascii="宋体" w:hAnsi="宋体" w:eastAsia="宋体" w:cs="宋体"/>
          <w:b/>
          <w:bCs/>
          <w:sz w:val="48"/>
          <w:szCs w:val="48"/>
        </w:rPr>
        <w:t>客户告知书</w:t>
      </w:r>
    </w:p>
    <w:p>
      <w:pPr>
        <w:jc w:val="center"/>
        <w:rPr>
          <w:rFonts w:ascii="宋体" w:hAnsi="宋体" w:eastAsia="宋体" w:cs="宋体"/>
          <w:b/>
          <w:bCs/>
          <w:color w:val="0070C0"/>
          <w:sz w:val="32"/>
          <w:szCs w:val="32"/>
        </w:rPr>
      </w:pPr>
      <w:r>
        <w:rPr>
          <w:rFonts w:hint="eastAsia" w:ascii="宋体" w:hAnsi="宋体" w:eastAsia="宋体" w:cs="宋体"/>
          <w:b/>
          <w:bCs/>
          <w:color w:val="0070C0"/>
          <w:sz w:val="32"/>
          <w:szCs w:val="32"/>
        </w:rPr>
        <w:t>经营保险代理业务许可证</w:t>
      </w:r>
    </w:p>
    <w:p>
      <w:pPr>
        <w:jc w:val="left"/>
        <w:rPr>
          <w:rFonts w:ascii="宋体" w:hAnsi="宋体" w:eastAsia="宋体" w:cs="宋体"/>
          <w:b/>
          <w:bCs/>
          <w:sz w:val="48"/>
          <w:szCs w:val="48"/>
        </w:rPr>
      </w:pPr>
      <w:r>
        <w:rPr>
          <w:rFonts w:ascii="宋体" w:hAnsi="宋体" w:eastAsia="宋体" w:cs="宋体"/>
          <w:b/>
          <w:bCs/>
          <w:sz w:val="48"/>
          <w:szCs w:val="48"/>
        </w:rPr>
        <w:drawing>
          <wp:inline distT="0" distB="0" distL="0" distR="0">
            <wp:extent cx="5397500" cy="3737610"/>
            <wp:effectExtent l="0" t="0" r="1270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97500" cy="3737610"/>
                    </a:xfrm>
                    <a:prstGeom prst="rect">
                      <a:avLst/>
                    </a:prstGeom>
                  </pic:spPr>
                </pic:pic>
              </a:graphicData>
            </a:graphic>
          </wp:inline>
        </w:drawing>
      </w: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ascii="宋体" w:hAnsi="宋体" w:eastAsia="宋体" w:cs="宋体"/>
          <w:b/>
          <w:bCs/>
          <w:sz w:val="48"/>
          <w:szCs w:val="48"/>
        </w:rPr>
      </w:pPr>
    </w:p>
    <w:p>
      <w:pPr>
        <w:jc w:val="left"/>
        <w:rPr>
          <w:rFonts w:hint="eastAsia" w:ascii="宋体" w:hAnsi="宋体" w:eastAsia="宋体" w:cs="宋体"/>
          <w:b/>
          <w:bCs/>
          <w:sz w:val="48"/>
          <w:szCs w:val="48"/>
        </w:rPr>
      </w:pPr>
    </w:p>
    <w:p>
      <w:pPr>
        <w:jc w:val="center"/>
        <w:rPr>
          <w:rFonts w:ascii="宋体" w:hAnsi="宋体" w:eastAsia="宋体" w:cs="宋体"/>
          <w:b/>
          <w:bCs/>
          <w:color w:val="0070C0"/>
          <w:sz w:val="32"/>
          <w:szCs w:val="32"/>
        </w:rPr>
      </w:pPr>
      <w:r>
        <w:rPr>
          <w:rFonts w:hint="eastAsia" w:ascii="宋体" w:hAnsi="宋体" w:eastAsia="宋体" w:cs="宋体"/>
          <w:b/>
          <w:bCs/>
          <w:color w:val="0070C0"/>
          <w:sz w:val="32"/>
          <w:szCs w:val="32"/>
        </w:rPr>
        <w:t>新流保险代理（苏州）有限公司营业执照</w:t>
      </w:r>
    </w:p>
    <w:p>
      <w:pPr>
        <w:jc w:val="left"/>
        <w:rPr>
          <w:rFonts w:hint="eastAsia" w:ascii="宋体" w:hAnsi="宋体" w:eastAsia="宋体" w:cs="宋体"/>
          <w:b/>
          <w:bCs/>
          <w:sz w:val="48"/>
          <w:szCs w:val="48"/>
        </w:rPr>
      </w:pPr>
      <w:r>
        <w:rPr>
          <w:rFonts w:ascii="宋体" w:hAnsi="宋体" w:eastAsia="宋体" w:cs="宋体"/>
          <w:b/>
          <w:bCs/>
          <w:sz w:val="48"/>
          <w:szCs w:val="48"/>
        </w:rPr>
        <w:drawing>
          <wp:inline distT="0" distB="0" distL="0" distR="0">
            <wp:extent cx="5274310" cy="77273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7273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rPr>
          <w:b/>
        </w:rPr>
      </w:pPr>
      <w:r>
        <w:rPr>
          <w:rFonts w:hint="eastAsia"/>
          <w:b/>
        </w:rPr>
        <w:t>※新流保险</w:t>
      </w:r>
      <w:r>
        <w:rPr>
          <w:b/>
        </w:rPr>
        <w:t>代理</w:t>
      </w:r>
      <w:r>
        <w:rPr>
          <w:rFonts w:hint="eastAsia"/>
          <w:b/>
        </w:rPr>
        <w:t>（苏州）</w:t>
      </w:r>
      <w:r>
        <w:rPr>
          <w:b/>
        </w:rPr>
        <w:t>有限公司办公地址：</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szCs w:val="22"/>
        </w:rPr>
      </w:pPr>
      <w:r>
        <w:rPr>
          <w:rFonts w:hint="eastAsia"/>
          <w:szCs w:val="22"/>
        </w:rPr>
        <w:t>江苏省苏州市工业园区苏州中心广场5</w:t>
      </w:r>
      <w:r>
        <w:rPr>
          <w:szCs w:val="22"/>
        </w:rPr>
        <w:t>8</w:t>
      </w:r>
      <w:r>
        <w:rPr>
          <w:rFonts w:hint="eastAsia"/>
          <w:szCs w:val="22"/>
        </w:rPr>
        <w:t>幢A座1</w:t>
      </w:r>
      <w:r>
        <w:rPr>
          <w:szCs w:val="22"/>
        </w:rPr>
        <w:t>8</w:t>
      </w:r>
      <w:r>
        <w:rPr>
          <w:rFonts w:hint="eastAsia"/>
          <w:szCs w:val="22"/>
        </w:rPr>
        <w:t>层0</w:t>
      </w:r>
      <w:r>
        <w:rPr>
          <w:szCs w:val="22"/>
        </w:rPr>
        <w:t>6</w:t>
      </w:r>
      <w:r>
        <w:rPr>
          <w:rFonts w:hint="eastAsia"/>
          <w:szCs w:val="22"/>
        </w:rPr>
        <w:t>号</w:t>
      </w:r>
    </w:p>
    <w:p>
      <w:pPr>
        <w:keepNext w:val="0"/>
        <w:keepLines w:val="0"/>
        <w:pageBreakBefore w:val="0"/>
        <w:kinsoku/>
        <w:wordWrap/>
        <w:overflowPunct/>
        <w:topLinePunct w:val="0"/>
        <w:autoSpaceDE/>
        <w:autoSpaceDN/>
        <w:bidi w:val="0"/>
        <w:adjustRightInd/>
        <w:snapToGrid/>
        <w:spacing w:line="360" w:lineRule="auto"/>
        <w:jc w:val="left"/>
        <w:textAlignment w:val="auto"/>
        <w:rPr>
          <w:szCs w:val="22"/>
        </w:rPr>
      </w:pPr>
      <w:r>
        <w:rPr>
          <w:rFonts w:hint="eastAsia"/>
          <w:szCs w:val="22"/>
        </w:rPr>
        <w:t>联系电话：</w:t>
      </w:r>
      <w:r>
        <w:rPr>
          <w:szCs w:val="22"/>
        </w:rPr>
        <w:t>0512</w:t>
      </w:r>
      <w:r>
        <w:rPr>
          <w:rFonts w:hint="eastAsia"/>
          <w:szCs w:val="22"/>
        </w:rPr>
        <w:t>—</w:t>
      </w:r>
      <w:r>
        <w:rPr>
          <w:szCs w:val="22"/>
        </w:rPr>
        <w:t>66964981</w:t>
      </w:r>
      <w:r>
        <w:rPr>
          <w:rFonts w:hint="eastAsia"/>
          <w:szCs w:val="22"/>
        </w:rPr>
        <w:t xml:space="preserve"> 邮编：</w:t>
      </w:r>
      <w:r>
        <w:rPr>
          <w:szCs w:val="22"/>
        </w:rPr>
        <w:t>215000</w:t>
      </w:r>
    </w:p>
    <w:p>
      <w:pPr>
        <w:pStyle w:val="3"/>
        <w:keepNext w:val="0"/>
        <w:keepLines w:val="0"/>
        <w:pageBreakBefore w:val="0"/>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b/>
          <w:kern w:val="2"/>
          <w:sz w:val="21"/>
          <w:szCs w:val="22"/>
        </w:rPr>
        <w:t>※</w:t>
      </w:r>
      <w:r>
        <w:rPr>
          <w:rFonts w:asciiTheme="minorHAnsi" w:hAnsiTheme="minorHAnsi" w:eastAsiaTheme="minorEastAsia" w:cstheme="minorBidi"/>
          <w:b/>
          <w:kern w:val="2"/>
          <w:sz w:val="21"/>
          <w:szCs w:val="22"/>
        </w:rPr>
        <w:t>公司</w:t>
      </w:r>
      <w:r>
        <w:rPr>
          <w:rFonts w:hint="eastAsia" w:asciiTheme="minorHAnsi" w:hAnsiTheme="minorHAnsi" w:eastAsiaTheme="minorEastAsia" w:cstheme="minorBidi"/>
          <w:b/>
          <w:kern w:val="2"/>
          <w:sz w:val="21"/>
          <w:szCs w:val="22"/>
        </w:rPr>
        <w:t>业务经营范围</w:t>
      </w:r>
      <w:r>
        <w:rPr>
          <w:rFonts w:asciiTheme="minorHAnsi" w:hAnsiTheme="minorHAnsi" w:eastAsiaTheme="minorEastAsia" w:cstheme="minorBidi"/>
          <w:b/>
          <w:kern w:val="2"/>
          <w:sz w:val="21"/>
          <w:szCs w:val="22"/>
        </w:rPr>
        <w:t xml:space="preserve">： </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 xml:space="preserve">（一）代理销售保险产品； </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 xml:space="preserve">（二）代理收取保险费； </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 xml:space="preserve">（三）代理相关保险业务的损失勘查和理赔； </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（四）中国保监会批准的其他业务。</w:t>
      </w:r>
    </w:p>
    <w:p>
      <w:pPr>
        <w:pStyle w:val="3"/>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rPr>
        <w:t>※</w:t>
      </w:r>
      <w:r>
        <w:rPr>
          <w:b/>
        </w:rPr>
        <w:t>公司</w:t>
      </w:r>
      <w:r>
        <w:rPr>
          <w:rFonts w:hint="eastAsia"/>
          <w:b/>
        </w:rPr>
        <w:t>合作</w:t>
      </w:r>
      <w:r>
        <w:rPr>
          <w:b/>
        </w:rPr>
        <w:t>网址：</w:t>
      </w:r>
    </w:p>
    <w:p>
      <w:pPr>
        <w:pStyle w:val="3"/>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rPr>
        <w:t>安心保保险：</w:t>
      </w:r>
      <w:r>
        <w:fldChar w:fldCharType="begin"/>
      </w:r>
      <w:r>
        <w:instrText xml:space="preserve"> HYPERLINK "http://www.anxinbx.com/" </w:instrText>
      </w:r>
      <w:r>
        <w:fldChar w:fldCharType="separate"/>
      </w:r>
      <w:r>
        <w:rPr>
          <w:rStyle w:val="6"/>
          <w:rFonts w:hint="eastAsia"/>
          <w:b/>
        </w:rPr>
        <w:t>http://www.anxinbx.com/</w:t>
      </w:r>
      <w:r>
        <w:rPr>
          <w:rStyle w:val="6"/>
          <w:rFonts w:hint="eastAsia"/>
          <w:b/>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保险产品的承保、销售主体</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新流大数据保险代理有限公司根据与合作保险公司签订保险代理合同，并按照合同约定在保险公司授权范围内代理销售其公司的意外险、责任险、家财险等产品。</w:t>
      </w:r>
    </w:p>
    <w:p>
      <w:pPr>
        <w:pStyle w:val="3"/>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保险产品分类</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建工险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团体意外险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责任险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家财险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健康意外保险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财产险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货运险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船舶保险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安装工程险</w:t>
      </w:r>
    </w:p>
    <w:p>
      <w:pPr>
        <w:pStyle w:val="3"/>
        <w:keepNext w:val="0"/>
        <w:keepLines w:val="0"/>
        <w:pageBreakBefore w:val="0"/>
        <w:numPr>
          <w:ilvl w:val="0"/>
          <w:numId w:val="1"/>
        </w:numPr>
        <w:kinsoku/>
        <w:wordWrap/>
        <w:overflowPunct/>
        <w:topLinePunct w:val="0"/>
        <w:autoSpaceDE/>
        <w:autoSpaceDN/>
        <w:bidi w:val="0"/>
        <w:adjustRightInd/>
        <w:snapToGrid/>
        <w:spacing w:line="360" w:lineRule="auto"/>
        <w:textAlignment w:val="auto"/>
        <w:rPr>
          <w:b/>
        </w:rPr>
      </w:pPr>
      <w:r>
        <w:rPr>
          <w:rFonts w:hint="eastAsia"/>
          <w:b/>
        </w:rPr>
        <w:t>信用保险</w:t>
      </w:r>
    </w:p>
    <w:p>
      <w:pPr>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信息安全</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根据我司《信息安全管理规定》，新流大数据保险代理有限公司将客户信息定为最高保密等级。在与保险公司合作过程中直接与保险公司核心系统实时专线传输，并且同时对信息进行加密设置，确保客户信息安全性。</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保险产品全流程支付方式</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保费收取方式：银行转账或第三方支付</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撤单支付方式：银行转账</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理赔支付方式：银行转账（理赔服务根据各保险公司公布信息为准。）</w:t>
      </w:r>
    </w:p>
    <w:p>
      <w:pPr>
        <w:keepNext w:val="0"/>
        <w:keepLines w:val="0"/>
        <w:pageBreakBefore w:val="0"/>
        <w:kinsoku/>
        <w:wordWrap/>
        <w:overflowPunct/>
        <w:topLinePunct w:val="0"/>
        <w:autoSpaceDE/>
        <w:autoSpaceDN/>
        <w:bidi w:val="0"/>
        <w:adjustRightInd/>
        <w:snapToGrid/>
        <w:spacing w:line="360" w:lineRule="auto"/>
        <w:textAlignment w:val="auto"/>
        <w:rPr>
          <w:b/>
        </w:rPr>
      </w:pPr>
    </w:p>
    <w:p>
      <w:pPr>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 xml:space="preserve">保险费支付方式 </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pPr>
      <w:r>
        <w:rPr>
          <w:rFonts w:hint="eastAsia"/>
        </w:rPr>
        <w:t>信用卡；2.网上银行；3.支付宝；4.微信；</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b/>
          <w:spacing w:val="15"/>
          <w:sz w:val="18"/>
          <w:szCs w:val="18"/>
        </w:rPr>
      </w:pPr>
      <w:r>
        <w:rPr>
          <w:rFonts w:hint="eastAsia"/>
          <w:b/>
          <w:spacing w:val="15"/>
          <w:sz w:val="18"/>
          <w:szCs w:val="18"/>
        </w:rPr>
        <w:t>※</w:t>
      </w:r>
      <w:r>
        <w:rPr>
          <w:rFonts w:hint="eastAsia"/>
          <w:b/>
        </w:rPr>
        <w:t>电子保单</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新流大数据保险代理有限公司所代理销售的保险产品，均由承保的保险公司提供电子保单。</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电子保单数据电文是合法的合同表现形式，电子保单与纸质保单具有同等法律效力，请妥善保存。</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电子保单可在承保的保险公司网站上查询和下载。</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保险发票</w:t>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rPr>
        <w:t>保险发票可在承保后拨打；承保保险公司或者</w:t>
      </w:r>
      <w:r>
        <w:rPr>
          <w:rFonts w:hint="eastAsia"/>
          <w:b/>
        </w:rPr>
        <w:t>新流保险</w:t>
      </w:r>
      <w:r>
        <w:rPr>
          <w:b/>
        </w:rPr>
        <w:t>代理</w:t>
      </w:r>
      <w:r>
        <w:rPr>
          <w:rFonts w:hint="eastAsia"/>
          <w:b/>
        </w:rPr>
        <w:t>（苏州）</w:t>
      </w:r>
      <w:r>
        <w:rPr>
          <w:b/>
        </w:rPr>
        <w:t>有限公司</w:t>
      </w:r>
      <w:r>
        <w:rPr>
          <w:rFonts w:hint="eastAsia"/>
          <w:b/>
        </w:rPr>
        <w:t>客服电话</w:t>
      </w:r>
      <w:r>
        <w:rPr>
          <w:szCs w:val="22"/>
        </w:rPr>
        <w:t>0512</w:t>
      </w:r>
      <w:r>
        <w:rPr>
          <w:rFonts w:hint="eastAsia"/>
          <w:szCs w:val="22"/>
        </w:rPr>
        <w:t>—</w:t>
      </w:r>
      <w:r>
        <w:rPr>
          <w:szCs w:val="22"/>
        </w:rPr>
        <w:t>66964981</w:t>
      </w:r>
      <w:r>
        <w:rPr>
          <w:rFonts w:hint="eastAsia"/>
        </w:rPr>
        <w:t>申领。</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rPr>
          <w:b/>
        </w:rPr>
      </w:pPr>
      <w:r>
        <w:rPr>
          <w:rFonts w:hint="eastAsia"/>
          <w:b/>
          <w:spacing w:val="15"/>
          <w:sz w:val="18"/>
          <w:szCs w:val="18"/>
        </w:rPr>
        <w:t>※</w:t>
      </w:r>
      <w:r>
        <w:rPr>
          <w:rFonts w:hint="eastAsia"/>
          <w:b/>
        </w:rPr>
        <w:t>保单查询及投保人查询、投诉渠道、举报热线</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中国人民人寿保险股份有限公司江苏省分公司客服专线（9551</w:t>
      </w:r>
      <w:r>
        <w:rPr>
          <w:rFonts w:hint="eastAsia"/>
          <w:lang w:val="en-US" w:eastAsia="zh-CN"/>
        </w:rPr>
        <w:t>9</w:t>
      </w:r>
      <w:r>
        <w:rPr>
          <w:rFonts w:hint="eastAsia"/>
        </w:rPr>
        <w:t>），南京市建邺路98号鸿信大厦</w:t>
      </w:r>
    </w:p>
    <w:p>
      <w:pPr>
        <w:keepNext w:val="0"/>
        <w:keepLines w:val="0"/>
        <w:pageBreakBefore w:val="0"/>
        <w:kinsoku/>
        <w:wordWrap/>
        <w:overflowPunct/>
        <w:topLinePunct w:val="0"/>
        <w:autoSpaceDE/>
        <w:autoSpaceDN/>
        <w:bidi w:val="0"/>
        <w:adjustRightInd/>
        <w:snapToGrid/>
        <w:spacing w:line="360" w:lineRule="auto"/>
        <w:textAlignment w:val="auto"/>
        <w:rPr>
          <w:rFonts w:hint="eastAsia"/>
        </w:rPr>
      </w:pPr>
      <w:r>
        <w:rPr>
          <w:rFonts w:hint="eastAsia"/>
        </w:rPr>
        <w:t>中国人民财产保险股份有限公司上海自贸试验区分公司</w:t>
      </w:r>
      <w:r>
        <w:rPr>
          <w:rFonts w:hint="eastAsia"/>
          <w:lang w:val="en-US" w:eastAsia="zh-CN"/>
        </w:rPr>
        <w:t>,</w:t>
      </w:r>
      <w:r>
        <w:rPr>
          <w:rFonts w:hint="eastAsia"/>
        </w:rPr>
        <w:t>客服热线(955</w:t>
      </w:r>
      <w:r>
        <w:rPr>
          <w:rFonts w:hint="eastAsia"/>
          <w:lang w:val="en-US" w:eastAsia="zh-CN"/>
        </w:rPr>
        <w:t>18</w:t>
      </w:r>
      <w:r>
        <w:rPr>
          <w:rFonts w:hint="eastAsia"/>
        </w:rPr>
        <w:t>)，中国上海市浦东新区浦东南路1085号华申大厦；</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lang w:val="en-US" w:eastAsia="zh-CN"/>
        </w:rPr>
      </w:pPr>
      <w:r>
        <w:rPr>
          <w:rFonts w:hint="eastAsia"/>
        </w:rPr>
        <w:t>中国人民财产保险股份有限公司南京市分公司</w:t>
      </w:r>
      <w:r>
        <w:rPr>
          <w:rFonts w:hint="eastAsia"/>
          <w:lang w:val="en-US" w:eastAsia="zh-CN"/>
        </w:rPr>
        <w:t>,</w:t>
      </w:r>
      <w:r>
        <w:rPr>
          <w:rFonts w:hint="eastAsia"/>
        </w:rPr>
        <w:t>客服热线(955</w:t>
      </w:r>
      <w:r>
        <w:rPr>
          <w:rFonts w:hint="eastAsia"/>
          <w:lang w:val="en-US" w:eastAsia="zh-CN"/>
        </w:rPr>
        <w:t>18</w:t>
      </w:r>
      <w:r>
        <w:rPr>
          <w:rFonts w:hint="eastAsia"/>
        </w:rPr>
        <w:t>)，</w:t>
      </w:r>
      <w:r>
        <w:rPr>
          <w:rFonts w:hint="eastAsia"/>
          <w:lang w:val="en-US" w:eastAsia="zh-CN"/>
        </w:rPr>
        <w:t>江苏省南京市龙蟠中路69号</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阳光产险保险股份有限公司</w:t>
      </w:r>
      <w:r>
        <w:rPr>
          <w:rFonts w:hint="eastAsia" w:cstheme="minorBidi"/>
          <w:kern w:val="2"/>
          <w:sz w:val="21"/>
          <w:szCs w:val="24"/>
          <w:lang w:val="en-US" w:eastAsia="zh-CN" w:bidi="ar-SA"/>
        </w:rPr>
        <w:t>，</w:t>
      </w:r>
      <w:r>
        <w:rPr>
          <w:rFonts w:hint="eastAsia"/>
        </w:rPr>
        <w:t>客服专线(955</w:t>
      </w:r>
      <w:r>
        <w:rPr>
          <w:rFonts w:hint="eastAsia"/>
          <w:lang w:val="en-US" w:eastAsia="zh-CN"/>
        </w:rPr>
        <w:t xml:space="preserve">10, </w:t>
      </w:r>
      <w:r>
        <w:rPr>
          <w:rFonts w:hint="eastAsia"/>
        </w:rPr>
        <w:t>)</w:t>
      </w:r>
      <w:r>
        <w:rPr>
          <w:rFonts w:hint="eastAsia" w:asciiTheme="minorHAnsi" w:hAnsiTheme="minorHAnsi" w:eastAsiaTheme="minorEastAsia" w:cstheme="minorBidi"/>
          <w:kern w:val="2"/>
          <w:sz w:val="21"/>
          <w:szCs w:val="24"/>
          <w:lang w:val="en-US" w:eastAsia="zh-CN" w:bidi="ar-SA"/>
        </w:rPr>
        <w:t>北京市朝阳区朝外大街乙12号1号楼昆泰国际大厦</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1"/>
          <w:szCs w:val="24"/>
          <w:lang w:val="en-US" w:eastAsia="zh-CN" w:bidi="ar-SA"/>
        </w:rPr>
      </w:pPr>
    </w:p>
    <w:tbl>
      <w:tblPr>
        <w:tblStyle w:val="4"/>
        <w:tblW w:w="8280" w:type="dxa"/>
        <w:tblInd w:w="0" w:type="dxa"/>
        <w:shd w:val="clear" w:color="auto" w:fill="auto"/>
        <w:tblLayout w:type="fixed"/>
        <w:tblCellMar>
          <w:top w:w="0" w:type="dxa"/>
          <w:left w:w="0" w:type="dxa"/>
          <w:bottom w:w="0" w:type="dxa"/>
          <w:right w:w="0" w:type="dxa"/>
        </w:tblCellMar>
      </w:tblPr>
      <w:tblGrid>
        <w:gridCol w:w="1994"/>
        <w:gridCol w:w="6286"/>
      </w:tblGrid>
      <w:tr>
        <w:tblPrEx>
          <w:tblLayout w:type="fixed"/>
          <w:tblCellMar>
            <w:top w:w="0" w:type="dxa"/>
            <w:left w:w="0" w:type="dxa"/>
            <w:bottom w:w="0" w:type="dxa"/>
            <w:right w:w="0" w:type="dxa"/>
          </w:tblCellMar>
        </w:tblPrEx>
        <w:trPr>
          <w:trHeight w:val="577" w:hRule="atLeast"/>
        </w:trPr>
        <w:tc>
          <w:tcPr>
            <w:tcW w:w="1994"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保险公司名称</w:t>
            </w:r>
          </w:p>
        </w:tc>
        <w:tc>
          <w:tcPr>
            <w:tcW w:w="6286"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营业网点所在省份及地区</w:t>
            </w:r>
          </w:p>
        </w:tc>
      </w:tr>
      <w:tr>
        <w:tblPrEx>
          <w:shd w:val="clear" w:color="auto" w:fill="auto"/>
          <w:tblLayout w:type="fixed"/>
          <w:tblCellMar>
            <w:top w:w="0" w:type="dxa"/>
            <w:left w:w="0" w:type="dxa"/>
            <w:bottom w:w="0" w:type="dxa"/>
            <w:right w:w="0" w:type="dxa"/>
          </w:tblCellMar>
        </w:tblPrEx>
        <w:trPr>
          <w:trHeight w:val="2514" w:hRule="atLeast"/>
        </w:trPr>
        <w:tc>
          <w:tcPr>
            <w:tcW w:w="1994"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中国人寿财产保险股份有限公司</w:t>
            </w:r>
          </w:p>
        </w:tc>
        <w:tc>
          <w:tcPr>
            <w:tcW w:w="6286"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市、天津市、河北省、山西省、内蒙古自治区、辽宁省、吉林省、黑龙江省、上海市、江苏省、浙江省、安徽省、福建省、江西省、山东省、河南省、湖北省、湖南省、广东省、广西壮族自治区、海南省、重庆市、四川省、贵州省、云南省、陕西省、甘肃省、新疆维吾尔自治区、大连市、宁波市、青岛市、厦门市、深圳市、青海省、宁夏回族自治区、西藏自治区成立了分支机构，在上海设立了航运保险运营中心。</w:t>
            </w:r>
          </w:p>
        </w:tc>
      </w:tr>
      <w:tr>
        <w:tblPrEx>
          <w:tblLayout w:type="fixed"/>
          <w:tblCellMar>
            <w:top w:w="0" w:type="dxa"/>
            <w:left w:w="0" w:type="dxa"/>
            <w:bottom w:w="0" w:type="dxa"/>
            <w:right w:w="0" w:type="dxa"/>
          </w:tblCellMar>
        </w:tblPrEx>
        <w:trPr>
          <w:trHeight w:val="680" w:hRule="atLeast"/>
        </w:trPr>
        <w:tc>
          <w:tcPr>
            <w:tcW w:w="1994"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中国人民财产保险股份有限公司</w:t>
            </w:r>
          </w:p>
        </w:tc>
        <w:tc>
          <w:tcPr>
            <w:tcW w:w="6286"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 天津 河北 山西 内蒙古 辽宁 吉林 黑龙江 上海 江苏 浙江 安徽 福建 江西 山东 河南 湖北、湖南 广东 广西 海南 重庆 四川 贵州 云南 西藏 陕西 甘肃 青海 宁夏 新疆 大连 青岛 厦门、宁波 深圳 杭州 广州</w:t>
            </w:r>
          </w:p>
        </w:tc>
      </w:tr>
      <w:tr>
        <w:tblPrEx>
          <w:tblLayout w:type="fixed"/>
          <w:tblCellMar>
            <w:top w:w="0" w:type="dxa"/>
            <w:left w:w="0" w:type="dxa"/>
            <w:bottom w:w="0" w:type="dxa"/>
            <w:right w:w="0" w:type="dxa"/>
          </w:tblCellMar>
        </w:tblPrEx>
        <w:trPr>
          <w:trHeight w:val="1205" w:hRule="atLeast"/>
        </w:trPr>
        <w:tc>
          <w:tcPr>
            <w:tcW w:w="1994"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top"/>
          </w:tcPr>
          <w:p>
            <w:pPr>
              <w:jc w:val="left"/>
              <w:rPr>
                <w:rFonts w:hint="eastAsia" w:ascii="宋体" w:hAnsi="宋体" w:eastAsia="宋体" w:cs="宋体"/>
                <w:i w:val="0"/>
                <w:color w:val="000000"/>
                <w:sz w:val="22"/>
                <w:szCs w:val="22"/>
                <w:u w:val="none"/>
              </w:rPr>
            </w:pPr>
          </w:p>
        </w:tc>
        <w:tc>
          <w:tcPr>
            <w:tcW w:w="6286"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jc w:val="left"/>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10" w:hRule="atLeast"/>
        </w:trPr>
        <w:tc>
          <w:tcPr>
            <w:tcW w:w="1994"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阳光产险保险股份有限公司</w:t>
            </w:r>
          </w:p>
        </w:tc>
        <w:tc>
          <w:tcPr>
            <w:tcW w:w="6286" w:type="dxa"/>
            <w:tcBorders>
              <w:top w:val="nil"/>
              <w:left w:val="nil"/>
              <w:bottom w:val="single" w:color="000000" w:sz="8"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山东、江苏、黑龙江、重庆、河南、上海、广东、深圳、天津、青岛、辽宁、河北、海南、广西、湖南、浙江、贵州、四川、青海、云南、陕西、湖北、吉林、新疆、宁波、山西、大连、甘肃、安徽、江西、福建、内蒙古、厦门、宁夏、西藏</w:t>
            </w:r>
          </w:p>
        </w:tc>
      </w:tr>
    </w:tbl>
    <w:p>
      <w:pPr>
        <w:pStyle w:val="3"/>
        <w:spacing w:line="300" w:lineRule="atLeast"/>
        <w:rPr>
          <w:rFonts w:asciiTheme="minorHAnsi" w:hAnsiTheme="minorHAnsi" w:eastAsiaTheme="minorEastAsia" w:cstheme="minorBidi"/>
          <w:kern w:val="2"/>
          <w:sz w:val="21"/>
          <w:szCs w:val="22"/>
        </w:rPr>
      </w:pPr>
    </w:p>
    <w:p>
      <w:pPr>
        <w:jc w:val="left"/>
        <w:rPr>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B787F"/>
    <w:multiLevelType w:val="singleLevel"/>
    <w:tmpl w:val="B92B787F"/>
    <w:lvl w:ilvl="0" w:tentative="0">
      <w:start w:val="1"/>
      <w:numFmt w:val="decimal"/>
      <w:lvlText w:val="%1."/>
      <w:lvlJc w:val="left"/>
      <w:pPr>
        <w:tabs>
          <w:tab w:val="left" w:pos="312"/>
        </w:tabs>
      </w:pPr>
    </w:lvl>
  </w:abstractNum>
  <w:abstractNum w:abstractNumId="1">
    <w:nsid w:val="EC0F5884"/>
    <w:multiLevelType w:val="singleLevel"/>
    <w:tmpl w:val="EC0F588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C"/>
    <w:rsid w:val="000468A1"/>
    <w:rsid w:val="005E0A2D"/>
    <w:rsid w:val="00C509DC"/>
    <w:rsid w:val="1ECD1982"/>
    <w:rsid w:val="20CE023B"/>
    <w:rsid w:val="24193930"/>
    <w:rsid w:val="308A3ACC"/>
    <w:rsid w:val="363B3C85"/>
    <w:rsid w:val="46EC3FD4"/>
    <w:rsid w:val="7055106F"/>
    <w:rsid w:val="7197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Normal (Web)"/>
    <w:basedOn w:val="1"/>
    <w:uiPriority w:val="0"/>
    <w:pPr>
      <w:widowControl/>
      <w:spacing w:before="100" w:beforeAutospacing="1" w:after="100" w:afterAutospacing="1"/>
      <w:jc w:val="left"/>
    </w:pPr>
    <w:rPr>
      <w:rFonts w:ascii="宋体" w:hAnsi="宋体" w:eastAsia="宋体" w:cs="宋体"/>
      <w:kern w:val="0"/>
      <w:sz w:val="24"/>
    </w:rPr>
  </w:style>
  <w:style w:type="character" w:styleId="6">
    <w:name w:val="Hyperlink"/>
    <w:basedOn w:val="5"/>
    <w:uiPriority w:val="0"/>
    <w:rPr>
      <w:color w:val="0000FF"/>
      <w:u w:val="single"/>
    </w:rPr>
  </w:style>
  <w:style w:type="character" w:customStyle="1" w:styleId="7">
    <w:name w:val="批注框文本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444</Words>
  <Characters>2534</Characters>
  <Lines>21</Lines>
  <Paragraphs>5</Paragraphs>
  <TotalTime>1</TotalTime>
  <ScaleCrop>false</ScaleCrop>
  <LinksUpToDate>false</LinksUpToDate>
  <CharactersWithSpaces>2973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2019-04-28T04:56:00Z</dcterms:created>
  <dc:creator>lenovo</dc:creator>
  <cp:lastModifiedBy>LISHU</cp:lastModifiedBy>
  <dcterms:modified xsi:type="dcterms:W3CDTF">2019-07-01T01:12:37Z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