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b/>
          <w:color w:val="D4AC0D"/>
          <w:sz w:val="20"/>
        </w:rPr>
        <w:t>CSIS Korea Chair</w:t>
      </w:r>
    </w:p>
    <w:p>
      <w:pPr>
        <w:spacing w:after="80"/>
        <w:jc w:val="center"/>
      </w:pPr>
      <w:r>
        <w:rPr>
          <w:b/>
          <w:color w:val="1B2A4A"/>
          <w:sz w:val="52"/>
        </w:rPr>
        <w:t>Daily Intelligence Digest</w:t>
      </w:r>
    </w:p>
    <w:p>
      <w:pPr>
        <w:spacing w:after="40"/>
        <w:jc w:val="center"/>
      </w:pPr>
      <w:r>
        <w:rPr>
          <w:color w:val="555555"/>
          <w:sz w:val="28"/>
        </w:rPr>
        <w:t>China Brief  ·  Korea Brief</w:t>
      </w:r>
    </w:p>
    <w:p>
      <w:pPr>
        <w:spacing w:after="640"/>
        <w:jc w:val="center"/>
      </w:pPr>
      <w:r>
        <w:rPr>
          <w:i/>
          <w:color w:val="555555"/>
          <w:sz w:val="22"/>
        </w:rPr>
        <w:t>How It Works — Setup, Replication, and Costs</w:t>
      </w:r>
    </w:p>
    <w:p>
      <w:pPr>
        <w:jc w:val="center"/>
      </w:pPr>
      <w:r>
        <w:rPr>
          <w:color w:val="AAAAAA"/>
          <w:sz w:val="20"/>
        </w:rPr>
        <w:t>Prepared by Andy Lim  ·  May 2026</w:t>
      </w:r>
    </w:p>
    <w:p>
      <w:r>
        <w:br w:type="page"/>
      </w:r>
    </w:p>
    <w:p>
      <w:pPr>
        <w:spacing w:before="280" w:after="80"/>
        <w:pBdr>
          <w:bottom w:val="single" w:sz="6" w:space="1" w:color="1B2A4A"/>
        </w:pBdr>
      </w:pPr>
      <w:r>
        <w:rPr>
          <w:b/>
          <w:i w:val="0"/>
          <w:color w:val="1B2A4A"/>
          <w:sz w:val="36"/>
        </w:rPr>
        <w:t>1.  What Is This?</w:t>
      </w:r>
    </w:p>
    <w:p>
      <w:pPr>
        <w:spacing w:before="0" w:after="160"/>
      </w:pPr>
      <w:r>
        <w:rPr>
          <w:b w:val="0"/>
          <w:i w:val="0"/>
          <w:color w:val="555555"/>
          <w:sz w:val="22"/>
        </w:rPr>
        <w:t>Two automated daily intelligence briefings — one on China, one on Korea — that land in your inbox at 6:30 AM ET every morning. Each covers overnight news, expert analysis, market indicators, government actions, and satellite imagery flags across 130+ sources. Formatted like a professional read-ahead. No manual curation. No staff time. Runs entirely on its own.</w:t>
      </w:r>
    </w:p>
    <w:p>
      <w:pPr>
        <w:spacing w:before="120" w:after="160"/>
        <w:ind w:left="288"/>
        <w:pBdr>
          <w:left w:val="single" w:sz="12" w:space="6" w:color="1B2A4A"/>
        </w:pBdr>
      </w:pPr>
      <w:r>
        <w:rPr>
          <w:b/>
          <w:color w:val="1B2A4A"/>
          <w:sz w:val="20"/>
        </w:rPr>
        <w:t xml:space="preserve">Bottom line:  </w:t>
      </w:r>
      <w:r>
        <w:rPr>
          <w:color w:val="555555"/>
          <w:sz w:val="21"/>
        </w:rPr>
        <w:t>A senior analyst briefing, automated. Each issue takes about 5 minutes to read and covers everything a China or Korea watcher needs before their first meeting.</w:t>
      </w:r>
    </w:p>
    <w:p>
      <w:pPr>
        <w:spacing w:before="280" w:after="80"/>
        <w:pBdr>
          <w:bottom w:val="single" w:sz="6" w:space="1" w:color="1B2A4A"/>
        </w:pBdr>
      </w:pPr>
      <w:r>
        <w:rPr>
          <w:b/>
          <w:i w:val="0"/>
          <w:color w:val="1B2A4A"/>
          <w:sz w:val="36"/>
        </w:rPr>
        <w:t>2.  How It Works — The Pipeline</w:t>
      </w:r>
    </w:p>
    <w:p>
      <w:pPr>
        <w:spacing w:before="0" w:after="120"/>
      </w:pPr>
      <w:r>
        <w:rPr>
          <w:b w:val="0"/>
          <w:i w:val="0"/>
          <w:color w:val="555555"/>
          <w:sz w:val="22"/>
        </w:rPr>
        <w:t>Every morning at 6:30 AM, GitHub's free servers wake up and run four steps:</w:t>
      </w:r>
    </w:p>
    <w:p>
      <w:pPr>
        <w:pStyle w:val="ListBullet"/>
        <w:spacing w:before="20" w:after="60"/>
        <w:ind w:left="360"/>
      </w:pPr>
      <w:r>
        <w:rPr>
          <w:b/>
          <w:color w:val="1B2A4A"/>
          <w:sz w:val="21"/>
        </w:rPr>
        <w:t xml:space="preserve">Step 1 — Collect </w:t>
      </w:r>
      <w:r>
        <w:rPr>
          <w:color w:val="555555"/>
          <w:sz w:val="21"/>
        </w:rPr>
        <w:t>Scans 130+ RSS feeds simultaneously — wire services, think tanks, academic journals, PRC state media, government sites</w:t>
      </w:r>
    </w:p>
    <w:p>
      <w:pPr>
        <w:pStyle w:val="ListBullet"/>
        <w:spacing w:before="20" w:after="60"/>
        <w:ind w:left="360"/>
      </w:pPr>
      <w:r>
        <w:rPr>
          <w:b/>
          <w:color w:val="1B2A4A"/>
          <w:sz w:val="21"/>
        </w:rPr>
        <w:t xml:space="preserve">Step 2 — Generate </w:t>
      </w:r>
      <w:r>
        <w:rPr>
          <w:color w:val="555555"/>
          <w:sz w:val="21"/>
        </w:rPr>
        <w:t>Sends all the articles to Claude (Anthropic's AI) with a detailed set of instructions. Claude reads everything and writes the digest as structured data</w:t>
      </w:r>
    </w:p>
    <w:p>
      <w:pPr>
        <w:pStyle w:val="ListBullet"/>
        <w:spacing w:before="20" w:after="60"/>
        <w:ind w:left="360"/>
      </w:pPr>
      <w:r>
        <w:rPr>
          <w:b/>
          <w:color w:val="1B2A4A"/>
          <w:sz w:val="21"/>
        </w:rPr>
        <w:t xml:space="preserve">Step 3 — Render </w:t>
      </w:r>
      <w:r>
        <w:rPr>
          <w:color w:val="555555"/>
          <w:sz w:val="21"/>
        </w:rPr>
        <w:t>Converts Claude's output into a styled HTML email — market strip, section labels, linked headlines, analysis cards</w:t>
      </w:r>
    </w:p>
    <w:p>
      <w:pPr>
        <w:pStyle w:val="ListBullet"/>
        <w:spacing w:before="20" w:after="60"/>
        <w:ind w:left="360"/>
      </w:pPr>
      <w:r>
        <w:rPr>
          <w:b/>
          <w:color w:val="1B2A4A"/>
          <w:sz w:val="21"/>
        </w:rPr>
        <w:t xml:space="preserve">Step 4 — Send </w:t>
      </w:r>
      <w:r>
        <w:rPr>
          <w:color w:val="555555"/>
          <w:sz w:val="21"/>
        </w:rPr>
        <w:t>Emails the finished digest via Gmail to the distribution list</w:t>
      </w:r>
    </w:p>
    <w:p>
      <w:pPr>
        <w:spacing w:before="0" w:after="80"/>
      </w:pPr>
      <w:r>
        <w:rPr>
          <w:b w:val="0"/>
          <w:i w:val="0"/>
          <w:sz w:val="22"/>
        </w:rPr>
      </w:r>
    </w:p>
    <w:p>
      <w:pPr>
        <w:spacing w:before="0" w:after="200"/>
      </w:pPr>
      <w:r>
        <w:rPr>
          <w:b w:val="0"/>
          <w:i w:val="0"/>
          <w:color w:val="555555"/>
          <w:sz w:val="22"/>
        </w:rPr>
        <w:t>The whole process takes about 3–5 minutes and costs roughly $0.13–$0.65 per issue depending on how much AI processing is needed that day.</w:t>
      </w:r>
    </w:p>
    <w:tbl>
      <w:tblPr>
        <w:tblStyle w:val="TableGrid"/>
        <w:tblW w:type="auto" w:w="0"/>
        <w:jc w:val="left"/>
        <w:tblLook w:firstColumn="1" w:firstRow="1" w:lastColumn="0" w:lastRow="0" w:noHBand="0" w:noVBand="1" w:val="04A0"/>
      </w:tblPr>
      <w:tblGrid>
        <w:gridCol w:w="3135"/>
        <w:gridCol w:w="3135"/>
        <w:gridCol w:w="3135"/>
      </w:tblGrid>
      <w:tr>
        <w:tc>
          <w:tcPr>
            <w:tcW w:type="dxa" w:w="2160"/>
            <w:shd w:val="clear" w:color="auto" w:fill="1B2A4A"/>
          </w:tcPr>
          <w:p>
            <w:pPr>
              <w:spacing w:before="40" w:after="40"/>
            </w:pPr>
            <w:r>
              <w:rPr>
                <w:b/>
                <w:color w:val="FFFFFF"/>
                <w:sz w:val="18"/>
              </w:rPr>
              <w:t>Component</w:t>
            </w:r>
          </w:p>
        </w:tc>
        <w:tc>
          <w:tcPr>
            <w:tcW w:type="dxa" w:w="4608"/>
            <w:shd w:val="clear" w:color="auto" w:fill="1B2A4A"/>
          </w:tcPr>
          <w:p>
            <w:pPr>
              <w:spacing w:before="40" w:after="40"/>
            </w:pPr>
            <w:r>
              <w:rPr>
                <w:b/>
                <w:color w:val="FFFFFF"/>
                <w:sz w:val="18"/>
              </w:rPr>
              <w:t>What It Does</w:t>
            </w:r>
          </w:p>
        </w:tc>
        <w:tc>
          <w:tcPr>
            <w:tcW w:type="dxa" w:w="2160"/>
            <w:shd w:val="clear" w:color="auto" w:fill="1B2A4A"/>
          </w:tcPr>
          <w:p>
            <w:pPr>
              <w:spacing w:before="40" w:after="40"/>
            </w:pPr>
            <w:r>
              <w:rPr>
                <w:b/>
                <w:color w:val="FFFFFF"/>
                <w:sz w:val="18"/>
              </w:rPr>
              <w:t>Cost</w:t>
            </w:r>
          </w:p>
        </w:tc>
      </w:tr>
      <w:tr>
        <w:tc>
          <w:tcPr>
            <w:tcW w:type="dxa" w:w="2160"/>
          </w:tcPr>
          <w:p>
            <w:pPr>
              <w:spacing w:before="40" w:after="40"/>
            </w:pPr>
            <w:r>
              <w:rPr>
                <w:b w:val="0"/>
                <w:sz w:val="19"/>
              </w:rPr>
              <w:t>Python</w:t>
            </w:r>
          </w:p>
        </w:tc>
        <w:tc>
          <w:tcPr>
            <w:tcW w:type="dxa" w:w="4608"/>
          </w:tcPr>
          <w:p>
            <w:pPr>
              <w:spacing w:before="40" w:after="40"/>
            </w:pPr>
            <w:r>
              <w:rPr>
                <w:b w:val="0"/>
                <w:sz w:val="19"/>
              </w:rPr>
              <w:t>The programming language the pipeline is written in</w:t>
            </w:r>
          </w:p>
        </w:tc>
        <w:tc>
          <w:tcPr>
            <w:tcW w:type="dxa" w:w="2160"/>
          </w:tcPr>
          <w:p>
            <w:pPr>
              <w:spacing w:before="40" w:after="40"/>
            </w:pPr>
            <w:r>
              <w:rPr>
                <w:b w:val="0"/>
                <w:sz w:val="19"/>
              </w:rPr>
              <w:t>Free</w:t>
            </w:r>
          </w:p>
        </w:tc>
      </w:tr>
      <w:tr>
        <w:tc>
          <w:tcPr>
            <w:tcW w:type="dxa" w:w="2160"/>
            <w:shd w:val="clear" w:color="auto" w:fill="F4F6F9"/>
          </w:tcPr>
          <w:p>
            <w:pPr>
              <w:spacing w:before="40" w:after="40"/>
            </w:pPr>
            <w:r>
              <w:rPr>
                <w:b w:val="0"/>
                <w:sz w:val="19"/>
              </w:rPr>
              <w:t>GitHub Actions</w:t>
            </w:r>
          </w:p>
        </w:tc>
        <w:tc>
          <w:tcPr>
            <w:tcW w:type="dxa" w:w="4608"/>
            <w:shd w:val="clear" w:color="auto" w:fill="F4F6F9"/>
          </w:tcPr>
          <w:p>
            <w:pPr>
              <w:spacing w:before="40" w:after="40"/>
            </w:pPr>
            <w:r>
              <w:rPr>
                <w:b w:val="0"/>
                <w:sz w:val="19"/>
              </w:rPr>
              <w:t>Runs the pipeline on a timer — no server or IT infrastructure needed</w:t>
            </w:r>
          </w:p>
        </w:tc>
        <w:tc>
          <w:tcPr>
            <w:tcW w:type="dxa" w:w="2160"/>
            <w:shd w:val="clear" w:color="auto" w:fill="F4F6F9"/>
          </w:tcPr>
          <w:p>
            <w:pPr>
              <w:spacing w:before="40" w:after="40"/>
            </w:pPr>
            <w:r>
              <w:rPr>
                <w:b w:val="0"/>
                <w:sz w:val="19"/>
              </w:rPr>
              <w:t>Free</w:t>
            </w:r>
          </w:p>
        </w:tc>
      </w:tr>
      <w:tr>
        <w:tc>
          <w:tcPr>
            <w:tcW w:type="dxa" w:w="2160"/>
          </w:tcPr>
          <w:p>
            <w:pPr>
              <w:spacing w:before="40" w:after="40"/>
            </w:pPr>
            <w:r>
              <w:rPr>
                <w:b w:val="0"/>
                <w:sz w:val="19"/>
              </w:rPr>
              <w:t>Claude API (Anthropic)</w:t>
            </w:r>
          </w:p>
        </w:tc>
        <w:tc>
          <w:tcPr>
            <w:tcW w:type="dxa" w:w="4608"/>
          </w:tcPr>
          <w:p>
            <w:pPr>
              <w:spacing w:before="40" w:after="40"/>
            </w:pPr>
            <w:r>
              <w:rPr>
                <w:b w:val="0"/>
                <w:sz w:val="19"/>
              </w:rPr>
              <w:t>AI that reads all articles and writes the digest</w:t>
            </w:r>
          </w:p>
        </w:tc>
        <w:tc>
          <w:tcPr>
            <w:tcW w:type="dxa" w:w="2160"/>
          </w:tcPr>
          <w:p>
            <w:pPr>
              <w:spacing w:before="40" w:after="40"/>
            </w:pPr>
            <w:r>
              <w:rPr>
                <w:b w:val="0"/>
                <w:sz w:val="19"/>
              </w:rPr>
              <w:t>~$5–8/month per digest</w:t>
            </w:r>
          </w:p>
        </w:tc>
      </w:tr>
      <w:tr>
        <w:tc>
          <w:tcPr>
            <w:tcW w:type="dxa" w:w="2160"/>
            <w:shd w:val="clear" w:color="auto" w:fill="F4F6F9"/>
          </w:tcPr>
          <w:p>
            <w:pPr>
              <w:spacing w:before="40" w:after="40"/>
            </w:pPr>
            <w:r>
              <w:rPr>
                <w:b w:val="0"/>
                <w:sz w:val="19"/>
              </w:rPr>
              <w:t>Gmail SMTP</w:t>
            </w:r>
          </w:p>
        </w:tc>
        <w:tc>
          <w:tcPr>
            <w:tcW w:type="dxa" w:w="4608"/>
            <w:shd w:val="clear" w:color="auto" w:fill="F4F6F9"/>
          </w:tcPr>
          <w:p>
            <w:pPr>
              <w:spacing w:before="40" w:after="40"/>
            </w:pPr>
            <w:r>
              <w:rPr>
                <w:b w:val="0"/>
                <w:sz w:val="19"/>
              </w:rPr>
              <w:t>Sends the finished email</w:t>
            </w:r>
          </w:p>
        </w:tc>
        <w:tc>
          <w:tcPr>
            <w:tcW w:type="dxa" w:w="2160"/>
            <w:shd w:val="clear" w:color="auto" w:fill="F4F6F9"/>
          </w:tcPr>
          <w:p>
            <w:pPr>
              <w:spacing w:before="40" w:after="40"/>
            </w:pPr>
            <w:r>
              <w:rPr>
                <w:b w:val="0"/>
                <w:sz w:val="19"/>
              </w:rPr>
              <w:t>Free</w:t>
            </w:r>
          </w:p>
        </w:tc>
      </w:tr>
      <w:tr>
        <w:tc>
          <w:tcPr>
            <w:tcW w:type="dxa" w:w="2160"/>
          </w:tcPr>
          <w:p>
            <w:pPr>
              <w:spacing w:before="40" w:after="40"/>
            </w:pPr>
            <w:r>
              <w:rPr>
                <w:b w:val="0"/>
                <w:sz w:val="19"/>
              </w:rPr>
              <w:t>GitHub Pages</w:t>
            </w:r>
          </w:p>
        </w:tc>
        <w:tc>
          <w:tcPr>
            <w:tcW w:type="dxa" w:w="4608"/>
          </w:tcPr>
          <w:p>
            <w:pPr>
              <w:spacing w:before="40" w:after="40"/>
            </w:pPr>
            <w:r>
              <w:rPr>
                <w:b w:val="0"/>
                <w:sz w:val="19"/>
              </w:rPr>
              <w:t>Hosts a public archive of past issues</w:t>
            </w:r>
          </w:p>
        </w:tc>
        <w:tc>
          <w:tcPr>
            <w:tcW w:type="dxa" w:w="2160"/>
          </w:tcPr>
          <w:p>
            <w:pPr>
              <w:spacing w:before="40" w:after="40"/>
            </w:pPr>
            <w:r>
              <w:rPr>
                <w:b w:val="0"/>
                <w:sz w:val="19"/>
              </w:rPr>
              <w:t>Free</w:t>
            </w:r>
          </w:p>
        </w:tc>
      </w:tr>
      <w:tr>
        <w:tc>
          <w:tcPr>
            <w:tcW w:type="dxa" w:w="2160"/>
            <w:shd w:val="clear" w:color="auto" w:fill="F4F6F9"/>
          </w:tcPr>
          <w:p>
            <w:pPr>
              <w:spacing w:before="40" w:after="40"/>
            </w:pPr>
            <w:r>
              <w:rPr>
                <w:b w:val="0"/>
                <w:sz w:val="19"/>
              </w:rPr>
              <w:t>Claude Code</w:t>
            </w:r>
          </w:p>
        </w:tc>
        <w:tc>
          <w:tcPr>
            <w:tcW w:type="dxa" w:w="4608"/>
            <w:shd w:val="clear" w:color="auto" w:fill="F4F6F9"/>
          </w:tcPr>
          <w:p>
            <w:pPr>
              <w:spacing w:before="40" w:after="40"/>
            </w:pPr>
            <w:r>
              <w:rPr>
                <w:b w:val="0"/>
                <w:sz w:val="19"/>
              </w:rPr>
              <w:t>AI coding assistant used to build and modify the pipeline</w:t>
            </w:r>
          </w:p>
        </w:tc>
        <w:tc>
          <w:tcPr>
            <w:tcW w:type="dxa" w:w="2160"/>
            <w:shd w:val="clear" w:color="auto" w:fill="F4F6F9"/>
          </w:tcPr>
          <w:p>
            <w:pPr>
              <w:spacing w:before="40" w:after="40"/>
            </w:pPr>
            <w:r>
              <w:rPr>
                <w:b w:val="0"/>
                <w:sz w:val="19"/>
              </w:rPr>
              <w:t>~$20/month (development only)</w:t>
            </w:r>
          </w:p>
        </w:tc>
      </w:tr>
    </w:tbl>
    <w:p/>
    <w:p>
      <w:pPr>
        <w:spacing w:before="280" w:after="80"/>
        <w:pBdr>
          <w:bottom w:val="single" w:sz="6" w:space="1" w:color="1B2A4A"/>
        </w:pBdr>
      </w:pPr>
      <w:r>
        <w:rPr>
          <w:b/>
          <w:i w:val="0"/>
          <w:color w:val="1B2A4A"/>
          <w:sz w:val="36"/>
        </w:rPr>
        <w:t>3.  What Each Digest Covers</w:t>
      </w:r>
    </w:p>
    <w:p>
      <w:pPr>
        <w:spacing w:before="0" w:after="80"/>
      </w:pPr>
      <w:r>
        <w:rPr>
          <w:b/>
          <w:i w:val="0"/>
          <w:color w:val="1B2A4A"/>
          <w:sz w:val="24"/>
        </w:rPr>
        <w:t>China Daily Brief</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1B2A4A"/>
          </w:tcPr>
          <w:p>
            <w:pPr>
              <w:spacing w:before="40" w:after="40"/>
            </w:pPr>
            <w:r>
              <w:rPr>
                <w:b/>
                <w:color w:val="FFFFFF"/>
                <w:sz w:val="18"/>
              </w:rPr>
              <w:t>Section</w:t>
            </w:r>
          </w:p>
        </w:tc>
        <w:tc>
          <w:tcPr>
            <w:tcW w:type="dxa" w:w="6048"/>
            <w:shd w:val="clear" w:color="auto" w:fill="1B2A4A"/>
          </w:tcPr>
          <w:p>
            <w:pPr>
              <w:spacing w:before="40" w:after="40"/>
            </w:pPr>
            <w:r>
              <w:rPr>
                <w:b/>
                <w:color w:val="FFFFFF"/>
                <w:sz w:val="18"/>
              </w:rPr>
              <w:t>Content</w:t>
            </w:r>
          </w:p>
        </w:tc>
      </w:tr>
      <w:tr>
        <w:tc>
          <w:tcPr>
            <w:tcW w:type="dxa" w:w="2880"/>
          </w:tcPr>
          <w:p>
            <w:pPr>
              <w:spacing w:before="40" w:after="40"/>
            </w:pPr>
            <w:r>
              <w:rPr>
                <w:b w:val="0"/>
                <w:sz w:val="19"/>
              </w:rPr>
              <w:t>Market Strip</w:t>
            </w:r>
          </w:p>
        </w:tc>
        <w:tc>
          <w:tcPr>
            <w:tcW w:type="dxa" w:w="6048"/>
          </w:tcPr>
          <w:p>
            <w:pPr>
              <w:spacing w:before="40" w:after="40"/>
            </w:pPr>
            <w:r>
              <w:rPr>
                <w:b w:val="0"/>
                <w:sz w:val="19"/>
              </w:rPr>
              <w:t>SSE Composite, Hang Seng, USD/CNY, Brent crude, 10-year CGB, PBOC rates — with daily moves</w:t>
            </w:r>
          </w:p>
        </w:tc>
      </w:tr>
      <w:tr>
        <w:tc>
          <w:tcPr>
            <w:tcW w:type="dxa" w:w="2880"/>
            <w:shd w:val="clear" w:color="auto" w:fill="F4F6F9"/>
          </w:tcPr>
          <w:p>
            <w:pPr>
              <w:spacing w:before="40" w:after="40"/>
            </w:pPr>
            <w:r>
              <w:rPr>
                <w:b w:val="0"/>
                <w:sz w:val="19"/>
              </w:rPr>
              <w:t>Δ Since Yesterday</w:t>
            </w:r>
          </w:p>
        </w:tc>
        <w:tc>
          <w:tcPr>
            <w:tcW w:type="dxa" w:w="6048"/>
            <w:shd w:val="clear" w:color="auto" w:fill="F4F6F9"/>
          </w:tcPr>
          <w:p>
            <w:pPr>
              <w:spacing w:before="40" w:after="40"/>
            </w:pPr>
            <w:r>
              <w:rPr>
                <w:b w:val="0"/>
                <w:sz w:val="19"/>
              </w:rPr>
              <w:t>What changed: tariff actions, PLA flights, coast guard presence, rate moves</w:t>
            </w:r>
          </w:p>
        </w:tc>
      </w:tr>
      <w:tr>
        <w:tc>
          <w:tcPr>
            <w:tcW w:type="dxa" w:w="2880"/>
          </w:tcPr>
          <w:p>
            <w:pPr>
              <w:spacing w:before="40" w:after="40"/>
            </w:pPr>
            <w:r>
              <w:rPr>
                <w:b w:val="0"/>
                <w:sz w:val="19"/>
              </w:rPr>
              <w:t>Morning Memo</w:t>
            </w:r>
          </w:p>
        </w:tc>
        <w:tc>
          <w:tcPr>
            <w:tcW w:type="dxa" w:w="6048"/>
          </w:tcPr>
          <w:p>
            <w:pPr>
              <w:spacing w:before="40" w:after="40"/>
            </w:pPr>
            <w:r>
              <w:rPr>
                <w:b w:val="0"/>
                <w:sz w:val="19"/>
              </w:rPr>
              <w:t>Top 3 stories in 2 sentences each — the elevator brief</w:t>
            </w:r>
          </w:p>
        </w:tc>
      </w:tr>
      <w:tr>
        <w:tc>
          <w:tcPr>
            <w:tcW w:type="dxa" w:w="2880"/>
            <w:shd w:val="clear" w:color="auto" w:fill="F4F6F9"/>
          </w:tcPr>
          <w:p>
            <w:pPr>
              <w:spacing w:before="40" w:after="40"/>
            </w:pPr>
            <w:r>
              <w:rPr>
                <w:b w:val="0"/>
                <w:sz w:val="19"/>
              </w:rPr>
              <w:t>Top Stories</w:t>
            </w:r>
          </w:p>
        </w:tc>
        <w:tc>
          <w:tcPr>
            <w:tcW w:type="dxa" w:w="6048"/>
            <w:shd w:val="clear" w:color="auto" w:fill="F4F6F9"/>
          </w:tcPr>
          <w:p>
            <w:pPr>
              <w:spacing w:before="40" w:after="40"/>
            </w:pPr>
            <w:r>
              <w:rPr>
                <w:b w:val="0"/>
                <w:sz w:val="19"/>
              </w:rPr>
              <w:t>2–4 major hard news items with 'So what' and pattern analysis</w:t>
            </w:r>
          </w:p>
        </w:tc>
      </w:tr>
      <w:tr>
        <w:tc>
          <w:tcPr>
            <w:tcW w:type="dxa" w:w="2880"/>
          </w:tcPr>
          <w:p>
            <w:pPr>
              <w:spacing w:before="40" w:after="40"/>
            </w:pPr>
            <w:r>
              <w:rPr>
                <w:b w:val="0"/>
                <w:sz w:val="19"/>
              </w:rPr>
              <w:t>Overnight Flash</w:t>
            </w:r>
          </w:p>
        </w:tc>
        <w:tc>
          <w:tcPr>
            <w:tcW w:type="dxa" w:w="6048"/>
          </w:tcPr>
          <w:p>
            <w:pPr>
              <w:spacing w:before="40" w:after="40"/>
            </w:pPr>
            <w:r>
              <w:rPr>
                <w:b w:val="0"/>
                <w:sz w:val="19"/>
              </w:rPr>
              <w:t>6 secondary items from overnight</w:t>
            </w:r>
          </w:p>
        </w:tc>
      </w:tr>
      <w:tr>
        <w:tc>
          <w:tcPr>
            <w:tcW w:type="dxa" w:w="2880"/>
            <w:shd w:val="clear" w:color="auto" w:fill="F4F6F9"/>
          </w:tcPr>
          <w:p>
            <w:pPr>
              <w:spacing w:before="40" w:after="40"/>
            </w:pPr>
            <w:r>
              <w:rPr>
                <w:b w:val="0"/>
                <w:sz w:val="19"/>
              </w:rPr>
              <w:t>Expert Analysts</w:t>
            </w:r>
          </w:p>
        </w:tc>
        <w:tc>
          <w:tcPr>
            <w:tcW w:type="dxa" w:w="6048"/>
            <w:shd w:val="clear" w:color="auto" w:fill="F4F6F9"/>
          </w:tcPr>
          <w:p>
            <w:pPr>
              <w:spacing w:before="40" w:after="40"/>
            </w:pPr>
            <w:r>
              <w:rPr>
                <w:b w:val="0"/>
                <w:sz w:val="19"/>
              </w:rPr>
              <w:t>What CSIS, CFR, Brookings, Sinocism, Foreign Affairs published today — with links</w:t>
            </w:r>
          </w:p>
        </w:tc>
      </w:tr>
      <w:tr>
        <w:tc>
          <w:tcPr>
            <w:tcW w:type="dxa" w:w="2880"/>
          </w:tcPr>
          <w:p>
            <w:pPr>
              <w:spacing w:before="40" w:after="40"/>
            </w:pPr>
            <w:r>
              <w:rPr>
                <w:b w:val="0"/>
                <w:sz w:val="19"/>
              </w:rPr>
              <w:t>Satellite &amp; Location Watch</w:t>
            </w:r>
          </w:p>
        </w:tc>
        <w:tc>
          <w:tcPr>
            <w:tcW w:type="dxa" w:w="6048"/>
          </w:tcPr>
          <w:p>
            <w:pPr>
              <w:spacing w:before="40" w:after="40"/>
            </w:pPr>
            <w:r>
              <w:rPr>
                <w:b w:val="0"/>
                <w:sz w:val="19"/>
              </w:rPr>
              <w:t>Activity flags from AMTI gray-zone sites and Hidden Reach overseas footprint</w:t>
            </w:r>
          </w:p>
        </w:tc>
      </w:tr>
      <w:tr>
        <w:tc>
          <w:tcPr>
            <w:tcW w:type="dxa" w:w="2880"/>
            <w:shd w:val="clear" w:color="auto" w:fill="F4F6F9"/>
          </w:tcPr>
          <w:p>
            <w:pPr>
              <w:spacing w:before="40" w:after="40"/>
            </w:pPr>
            <w:r>
              <w:rPr>
                <w:b w:val="0"/>
                <w:sz w:val="19"/>
              </w:rPr>
              <w:t>PRC Government</w:t>
            </w:r>
          </w:p>
        </w:tc>
        <w:tc>
          <w:tcPr>
            <w:tcW w:type="dxa" w:w="6048"/>
            <w:shd w:val="clear" w:color="auto" w:fill="F4F6F9"/>
          </w:tcPr>
          <w:p>
            <w:pPr>
              <w:spacing w:before="40" w:after="40"/>
            </w:pPr>
            <w:r>
              <w:rPr>
                <w:b w:val="0"/>
                <w:sz w:val="19"/>
              </w:rPr>
              <w:t>State Council, MOFA, MOFCOM, personnel changes</w:t>
            </w:r>
          </w:p>
        </w:tc>
      </w:tr>
      <w:tr>
        <w:tc>
          <w:tcPr>
            <w:tcW w:type="dxa" w:w="2880"/>
          </w:tcPr>
          <w:p>
            <w:pPr>
              <w:spacing w:before="40" w:after="40"/>
            </w:pPr>
            <w:r>
              <w:rPr>
                <w:b w:val="0"/>
                <w:sz w:val="19"/>
              </w:rPr>
              <w:t>US–China Trade &amp; Sanctions</w:t>
            </w:r>
          </w:p>
        </w:tc>
        <w:tc>
          <w:tcPr>
            <w:tcW w:type="dxa" w:w="6048"/>
          </w:tcPr>
          <w:p>
            <w:pPr>
              <w:spacing w:before="40" w:after="40"/>
            </w:pPr>
            <w:r>
              <w:rPr>
                <w:b w:val="0"/>
                <w:sz w:val="19"/>
              </w:rPr>
              <w:t>Section 301/232/IEEPA tariff stack, Entity List adds, CFIUS actions</w:t>
            </w:r>
          </w:p>
        </w:tc>
      </w:tr>
      <w:tr>
        <w:tc>
          <w:tcPr>
            <w:tcW w:type="dxa" w:w="2880"/>
            <w:shd w:val="clear" w:color="auto" w:fill="F4F6F9"/>
          </w:tcPr>
          <w:p>
            <w:pPr>
              <w:spacing w:before="40" w:after="40"/>
            </w:pPr>
            <w:r>
              <w:rPr>
                <w:b w:val="0"/>
                <w:sz w:val="19"/>
              </w:rPr>
              <w:t>Congressional Watch</w:t>
            </w:r>
          </w:p>
        </w:tc>
        <w:tc>
          <w:tcPr>
            <w:tcW w:type="dxa" w:w="6048"/>
            <w:shd w:val="clear" w:color="auto" w:fill="F4F6F9"/>
          </w:tcPr>
          <w:p>
            <w:pPr>
              <w:spacing w:before="40" w:after="40"/>
            </w:pPr>
            <w:r>
              <w:rPr>
                <w:b w:val="0"/>
                <w:sz w:val="19"/>
              </w:rPr>
              <w:t>Select Committee on CCP, SFRC, USCC, CECC activity</w:t>
            </w:r>
          </w:p>
        </w:tc>
      </w:tr>
      <w:tr>
        <w:tc>
          <w:tcPr>
            <w:tcW w:type="dxa" w:w="2880"/>
          </w:tcPr>
          <w:p>
            <w:pPr>
              <w:spacing w:before="40" w:after="40"/>
            </w:pPr>
            <w:r>
              <w:rPr>
                <w:b w:val="0"/>
                <w:sz w:val="19"/>
              </w:rPr>
              <w:t>Business &amp; Economy</w:t>
            </w:r>
          </w:p>
        </w:tc>
        <w:tc>
          <w:tcPr>
            <w:tcW w:type="dxa" w:w="6048"/>
          </w:tcPr>
          <w:p>
            <w:pPr>
              <w:spacing w:before="40" w:after="40"/>
            </w:pPr>
            <w:r>
              <w:rPr>
                <w:b w:val="0"/>
                <w:sz w:val="19"/>
              </w:rPr>
              <w:t>Major corporates, macro indicators, property, tech sector</w:t>
            </w:r>
          </w:p>
        </w:tc>
      </w:tr>
      <w:tr>
        <w:tc>
          <w:tcPr>
            <w:tcW w:type="dxa" w:w="2880"/>
            <w:shd w:val="clear" w:color="auto" w:fill="F4F6F9"/>
          </w:tcPr>
          <w:p>
            <w:pPr>
              <w:spacing w:before="40" w:after="40"/>
            </w:pPr>
            <w:r>
              <w:rPr>
                <w:b w:val="0"/>
                <w:sz w:val="19"/>
              </w:rPr>
              <w:t>Indo-Pacific</w:t>
            </w:r>
          </w:p>
        </w:tc>
        <w:tc>
          <w:tcPr>
            <w:tcW w:type="dxa" w:w="6048"/>
            <w:shd w:val="clear" w:color="auto" w:fill="F4F6F9"/>
          </w:tcPr>
          <w:p>
            <w:pPr>
              <w:spacing w:before="40" w:after="40"/>
            </w:pPr>
            <w:r>
              <w:rPr>
                <w:b w:val="0"/>
                <w:sz w:val="19"/>
              </w:rPr>
              <w:t>Cross-Strait, Japan, Philippines, Australia, India, Korea, Vietnam</w:t>
            </w:r>
          </w:p>
        </w:tc>
      </w:tr>
      <w:tr>
        <w:tc>
          <w:tcPr>
            <w:tcW w:type="dxa" w:w="2880"/>
          </w:tcPr>
          <w:p>
            <w:pPr>
              <w:spacing w:before="40" w:after="40"/>
            </w:pPr>
            <w:r>
              <w:rPr>
                <w:b w:val="0"/>
                <w:sz w:val="19"/>
              </w:rPr>
              <w:t>Also Today / The Wire</w:t>
            </w:r>
          </w:p>
        </w:tc>
        <w:tc>
          <w:tcPr>
            <w:tcW w:type="dxa" w:w="6048"/>
          </w:tcPr>
          <w:p>
            <w:pPr>
              <w:spacing w:before="40" w:after="40"/>
            </w:pPr>
            <w:r>
              <w:rPr>
                <w:b w:val="0"/>
                <w:sz w:val="19"/>
              </w:rPr>
              <w:t>Everything else worth noting — short summaries</w:t>
            </w:r>
          </w:p>
        </w:tc>
      </w:tr>
      <w:tr>
        <w:tc>
          <w:tcPr>
            <w:tcW w:type="dxa" w:w="2880"/>
            <w:shd w:val="clear" w:color="auto" w:fill="F4F6F9"/>
          </w:tcPr>
          <w:p>
            <w:pPr>
              <w:spacing w:before="40" w:after="40"/>
            </w:pPr>
            <w:r>
              <w:rPr>
                <w:b w:val="0"/>
                <w:sz w:val="19"/>
              </w:rPr>
              <w:t>On This Day</w:t>
            </w:r>
          </w:p>
        </w:tc>
        <w:tc>
          <w:tcPr>
            <w:tcW w:type="dxa" w:w="6048"/>
            <w:shd w:val="clear" w:color="auto" w:fill="F4F6F9"/>
          </w:tcPr>
          <w:p>
            <w:pPr>
              <w:spacing w:before="40" w:after="40"/>
            </w:pPr>
            <w:r>
              <w:rPr>
                <w:b w:val="0"/>
                <w:sz w:val="19"/>
              </w:rPr>
              <w:t>A verified historical China event matching today's exact date</w:t>
            </w:r>
          </w:p>
        </w:tc>
      </w:tr>
    </w:tbl>
    <w:p/>
    <w:p>
      <w:pPr>
        <w:spacing w:before="0" w:after="80"/>
      </w:pPr>
      <w:r>
        <w:rPr>
          <w:b/>
          <w:i w:val="0"/>
          <w:color w:val="1B2A4A"/>
          <w:sz w:val="22"/>
        </w:rPr>
        <w:t>Korea Daily Brief covers:</w:t>
      </w:r>
    </w:p>
    <w:p>
      <w:pPr>
        <w:spacing w:before="0" w:after="200"/>
      </w:pPr>
      <w:r>
        <w:rPr>
          <w:b w:val="0"/>
          <w:i w:val="0"/>
          <w:color w:val="555555"/>
          <w:sz w:val="22"/>
        </w:rPr>
        <w:t>Korean Peninsula security (North Korea, US-ROK alliance, USFK), ROK domestic politics and economy, KCNA / Rodong Sinmun state media delta, Kim Jong Un appearance tracking with anomaly flag, and the US-ROK-Japan trilateral tracker. Identical pipeline architecture.</w:t>
      </w:r>
    </w:p>
    <w:p>
      <w:pPr>
        <w:spacing w:before="280" w:after="80"/>
        <w:pBdr>
          <w:bottom w:val="single" w:sz="6" w:space="1" w:color="1B2A4A"/>
        </w:pBdr>
      </w:pPr>
      <w:r>
        <w:rPr>
          <w:b/>
          <w:i w:val="0"/>
          <w:color w:val="1B2A4A"/>
          <w:sz w:val="36"/>
        </w:rPr>
        <w:t>4.  Source Coverage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440"/>
            <w:shd w:val="clear" w:color="auto" w:fill="1B2A4A"/>
          </w:tcPr>
          <w:p>
            <w:pPr>
              <w:spacing w:before="40" w:after="40"/>
            </w:pPr>
            <w:r>
              <w:rPr>
                <w:b/>
                <w:color w:val="FFFFFF"/>
                <w:sz w:val="18"/>
              </w:rPr>
              <w:t>Tier</w:t>
            </w:r>
          </w:p>
        </w:tc>
        <w:tc>
          <w:tcPr>
            <w:tcW w:type="dxa" w:w="1008"/>
            <w:shd w:val="clear" w:color="auto" w:fill="1B2A4A"/>
          </w:tcPr>
          <w:p>
            <w:pPr>
              <w:spacing w:before="40" w:after="40"/>
            </w:pPr>
            <w:r>
              <w:rPr>
                <w:b/>
                <w:color w:val="FFFFFF"/>
                <w:sz w:val="18"/>
              </w:rPr>
              <w:t>Count</w:t>
            </w:r>
          </w:p>
        </w:tc>
        <w:tc>
          <w:tcPr>
            <w:tcW w:type="dxa" w:w="5040"/>
            <w:shd w:val="clear" w:color="auto" w:fill="1B2A4A"/>
          </w:tcPr>
          <w:p>
            <w:pPr>
              <w:spacing w:before="40" w:after="40"/>
            </w:pPr>
            <w:r>
              <w:rPr>
                <w:b/>
                <w:color w:val="FFFFFF"/>
                <w:sz w:val="18"/>
              </w:rPr>
              <w:t>Examples</w:t>
            </w:r>
          </w:p>
        </w:tc>
        <w:tc>
          <w:tcPr>
            <w:tcW w:type="dxa" w:w="1440"/>
            <w:shd w:val="clear" w:color="auto" w:fill="1B2A4A"/>
          </w:tcPr>
          <w:p>
            <w:pPr>
              <w:spacing w:before="40" w:after="40"/>
            </w:pPr>
            <w:r>
              <w:rPr>
                <w:b/>
                <w:color w:val="FFFFFF"/>
                <w:sz w:val="18"/>
              </w:rPr>
              <w:t>Lookback</w:t>
            </w:r>
          </w:p>
        </w:tc>
      </w:tr>
      <w:tr>
        <w:tc>
          <w:tcPr>
            <w:tcW w:type="dxa" w:w="1440"/>
          </w:tcPr>
          <w:p>
            <w:pPr>
              <w:spacing w:before="40" w:after="40"/>
            </w:pPr>
            <w:r>
              <w:rPr>
                <w:b w:val="0"/>
                <w:sz w:val="19"/>
              </w:rPr>
              <w:t>News</w:t>
            </w:r>
          </w:p>
        </w:tc>
        <w:tc>
          <w:tcPr>
            <w:tcW w:type="dxa" w:w="1008"/>
          </w:tcPr>
          <w:p>
            <w:pPr>
              <w:spacing w:before="40" w:after="40"/>
            </w:pPr>
            <w:r>
              <w:rPr>
                <w:b w:val="0"/>
                <w:sz w:val="19"/>
              </w:rPr>
              <w:t>85+ feeds</w:t>
            </w:r>
          </w:p>
        </w:tc>
        <w:tc>
          <w:tcPr>
            <w:tcW w:type="dxa" w:w="5040"/>
          </w:tcPr>
          <w:p>
            <w:pPr>
              <w:spacing w:before="40" w:after="40"/>
            </w:pPr>
            <w:r>
              <w:rPr>
                <w:b w:val="0"/>
                <w:sz w:val="19"/>
              </w:rPr>
              <w:t>Reuters, AP, Bloomberg, NYT, WSJ, FT, Nikkei, SCMP, Xinhua, Global Times</w:t>
            </w:r>
          </w:p>
        </w:tc>
        <w:tc>
          <w:tcPr>
            <w:tcW w:type="dxa" w:w="1440"/>
          </w:tcPr>
          <w:p>
            <w:pPr>
              <w:spacing w:before="40" w:after="40"/>
            </w:pPr>
            <w:r>
              <w:rPr>
                <w:b w:val="0"/>
                <w:sz w:val="19"/>
              </w:rPr>
              <w:t>24 hours</w:t>
            </w:r>
          </w:p>
        </w:tc>
      </w:tr>
      <w:tr>
        <w:tc>
          <w:tcPr>
            <w:tcW w:type="dxa" w:w="1440"/>
            <w:shd w:val="clear" w:color="auto" w:fill="F4F6F9"/>
          </w:tcPr>
          <w:p>
            <w:pPr>
              <w:spacing w:before="40" w:after="40"/>
            </w:pPr>
            <w:r>
              <w:rPr>
                <w:b w:val="0"/>
                <w:sz w:val="19"/>
              </w:rPr>
              <w:t>Analysis</w:t>
            </w:r>
          </w:p>
        </w:tc>
        <w:tc>
          <w:tcPr>
            <w:tcW w:type="dxa" w:w="1008"/>
            <w:shd w:val="clear" w:color="auto" w:fill="F4F6F9"/>
          </w:tcPr>
          <w:p>
            <w:pPr>
              <w:spacing w:before="40" w:after="40"/>
            </w:pPr>
            <w:r>
              <w:rPr>
                <w:b w:val="0"/>
                <w:sz w:val="19"/>
              </w:rPr>
              <w:t>28 feeds</w:t>
            </w:r>
          </w:p>
        </w:tc>
        <w:tc>
          <w:tcPr>
            <w:tcW w:type="dxa" w:w="5040"/>
            <w:shd w:val="clear" w:color="auto" w:fill="F4F6F9"/>
          </w:tcPr>
          <w:p>
            <w:pPr>
              <w:spacing w:before="40" w:after="40"/>
            </w:pPr>
            <w:r>
              <w:rPr>
                <w:b w:val="0"/>
                <w:sz w:val="19"/>
              </w:rPr>
              <w:t>CSIS, CFR, Brookings, Carnegie, MERICS, RAND, Sinocism, Stimson, ASPI</w:t>
            </w:r>
          </w:p>
        </w:tc>
        <w:tc>
          <w:tcPr>
            <w:tcW w:type="dxa" w:w="1440"/>
            <w:shd w:val="clear" w:color="auto" w:fill="F4F6F9"/>
          </w:tcPr>
          <w:p>
            <w:pPr>
              <w:spacing w:before="40" w:after="40"/>
            </w:pPr>
            <w:r>
              <w:rPr>
                <w:b w:val="0"/>
                <w:sz w:val="19"/>
              </w:rPr>
              <w:t>36 hours</w:t>
            </w:r>
          </w:p>
        </w:tc>
      </w:tr>
      <w:tr>
        <w:tc>
          <w:tcPr>
            <w:tcW w:type="dxa" w:w="1440"/>
          </w:tcPr>
          <w:p>
            <w:pPr>
              <w:spacing w:before="40" w:after="40"/>
            </w:pPr>
            <w:r>
              <w:rPr>
                <w:b w:val="0"/>
                <w:sz w:val="19"/>
              </w:rPr>
              <w:t>Academic</w:t>
            </w:r>
          </w:p>
        </w:tc>
        <w:tc>
          <w:tcPr>
            <w:tcW w:type="dxa" w:w="1008"/>
          </w:tcPr>
          <w:p>
            <w:pPr>
              <w:spacing w:before="40" w:after="40"/>
            </w:pPr>
            <w:r>
              <w:rPr>
                <w:b w:val="0"/>
                <w:sz w:val="19"/>
              </w:rPr>
              <w:t>16 feeds</w:t>
            </w:r>
          </w:p>
        </w:tc>
        <w:tc>
          <w:tcPr>
            <w:tcW w:type="dxa" w:w="5040"/>
          </w:tcPr>
          <w:p>
            <w:pPr>
              <w:spacing w:before="40" w:after="40"/>
            </w:pPr>
            <w:r>
              <w:rPr>
                <w:b w:val="0"/>
                <w:sz w:val="19"/>
              </w:rPr>
              <w:t>International Security, China Quarterly, Journal of Contemporary China</w:t>
            </w:r>
          </w:p>
        </w:tc>
        <w:tc>
          <w:tcPr>
            <w:tcW w:type="dxa" w:w="1440"/>
          </w:tcPr>
          <w:p>
            <w:pPr>
              <w:spacing w:before="40" w:after="40"/>
            </w:pPr>
            <w:r>
              <w:rPr>
                <w:b w:val="0"/>
                <w:sz w:val="19"/>
              </w:rPr>
              <w:t>72 hours</w:t>
            </w:r>
          </w:p>
        </w:tc>
      </w:tr>
      <w:tr>
        <w:tc>
          <w:tcPr>
            <w:tcW w:type="dxa" w:w="1440"/>
            <w:shd w:val="clear" w:color="auto" w:fill="F4F6F9"/>
          </w:tcPr>
          <w:p>
            <w:pPr>
              <w:spacing w:before="40" w:after="40"/>
            </w:pPr>
            <w:r>
              <w:rPr>
                <w:b w:val="0"/>
                <w:sz w:val="19"/>
              </w:rPr>
              <w:t>PRC Primary</w:t>
            </w:r>
          </w:p>
        </w:tc>
        <w:tc>
          <w:tcPr>
            <w:tcW w:type="dxa" w:w="1008"/>
            <w:shd w:val="clear" w:color="auto" w:fill="F4F6F9"/>
          </w:tcPr>
          <w:p>
            <w:pPr>
              <w:spacing w:before="40" w:after="40"/>
            </w:pPr>
            <w:r>
              <w:rPr>
                <w:b w:val="0"/>
                <w:sz w:val="19"/>
              </w:rPr>
              <w:t>8 feeds</w:t>
            </w:r>
          </w:p>
        </w:tc>
        <w:tc>
          <w:tcPr>
            <w:tcW w:type="dxa" w:w="5040"/>
            <w:shd w:val="clear" w:color="auto" w:fill="F4F6F9"/>
          </w:tcPr>
          <w:p>
            <w:pPr>
              <w:spacing w:before="40" w:after="40"/>
            </w:pPr>
            <w:r>
              <w:rPr>
                <w:b w:val="0"/>
                <w:sz w:val="19"/>
              </w:rPr>
              <w:t>人民日报, 新华社, 环球时报, CCTV, MOFA Presser, State Council, TAO</w:t>
            </w:r>
          </w:p>
        </w:tc>
        <w:tc>
          <w:tcPr>
            <w:tcW w:type="dxa" w:w="1440"/>
            <w:shd w:val="clear" w:color="auto" w:fill="F4F6F9"/>
          </w:tcPr>
          <w:p>
            <w:pPr>
              <w:spacing w:before="40" w:after="40"/>
            </w:pPr>
            <w:r>
              <w:rPr>
                <w:b w:val="0"/>
                <w:sz w:val="19"/>
              </w:rPr>
              <w:t>24 hours</w:t>
            </w:r>
          </w:p>
        </w:tc>
      </w:tr>
    </w:tbl>
    <w:p/>
    <w:p>
      <w:pPr>
        <w:spacing w:before="120" w:after="160"/>
        <w:ind w:left="288"/>
        <w:pBdr>
          <w:left w:val="single" w:sz="12" w:space="6" w:color="1B2A4A"/>
        </w:pBdr>
      </w:pPr>
      <w:r>
        <w:rPr>
          <w:b/>
          <w:color w:val="1B2A4A"/>
          <w:sz w:val="20"/>
        </w:rPr>
        <w:t xml:space="preserve">Prestige rule:  </w:t>
      </w:r>
      <w:r>
        <w:rPr>
          <w:color w:val="555555"/>
          <w:sz w:val="21"/>
        </w:rPr>
        <w:t>Stories from WSJ, NYT, WaPo, Bloomberg, FT, The Economist, Reuters, CNN, CNBC are never dropped regardless of AI prioritization. They are guaranteed inclusion.</w:t>
      </w:r>
    </w:p>
    <w:p>
      <w:pPr>
        <w:spacing w:before="280" w:after="80"/>
        <w:pBdr>
          <w:bottom w:val="single" w:sz="6" w:space="1" w:color="1B2A4A"/>
        </w:pBdr>
      </w:pPr>
      <w:r>
        <w:rPr>
          <w:b/>
          <w:i w:val="0"/>
          <w:color w:val="1B2A4A"/>
          <w:sz w:val="36"/>
        </w:rPr>
        <w:t>5.  Costs</w:t>
      </w:r>
    </w:p>
    <w:tbl>
      <w:tblPr>
        <w:tblStyle w:val="TableGrid"/>
        <w:tblW w:type="auto" w:w="0"/>
        <w:jc w:val="left"/>
        <w:tblLook w:firstColumn="1" w:firstRow="1" w:lastColumn="0" w:lastRow="0" w:noHBand="0" w:noVBand="1" w:val="04A0"/>
      </w:tblPr>
      <w:tblGrid>
        <w:gridCol w:w="3135"/>
        <w:gridCol w:w="3135"/>
        <w:gridCol w:w="3135"/>
      </w:tblGrid>
      <w:tr>
        <w:tc>
          <w:tcPr>
            <w:tcW w:type="dxa" w:w="3168"/>
            <w:shd w:val="clear" w:color="auto" w:fill="1B2A4A"/>
          </w:tcPr>
          <w:p>
            <w:pPr>
              <w:spacing w:before="40" w:after="40"/>
            </w:pPr>
            <w:r>
              <w:rPr>
                <w:b/>
                <w:color w:val="FFFFFF"/>
                <w:sz w:val="18"/>
              </w:rPr>
              <w:t>Item</w:t>
            </w:r>
          </w:p>
        </w:tc>
        <w:tc>
          <w:tcPr>
            <w:tcW w:type="dxa" w:w="1872"/>
            <w:shd w:val="clear" w:color="auto" w:fill="1B2A4A"/>
          </w:tcPr>
          <w:p>
            <w:pPr>
              <w:spacing w:before="40" w:after="40"/>
            </w:pPr>
            <w:r>
              <w:rPr>
                <w:b/>
                <w:color w:val="FFFFFF"/>
                <w:sz w:val="18"/>
              </w:rPr>
              <w:t>Monthly Cost</w:t>
            </w:r>
          </w:p>
        </w:tc>
        <w:tc>
          <w:tcPr>
            <w:tcW w:type="dxa" w:w="3888"/>
            <w:shd w:val="clear" w:color="auto" w:fill="1B2A4A"/>
          </w:tcPr>
          <w:p>
            <w:pPr>
              <w:spacing w:before="40" w:after="40"/>
            </w:pPr>
            <w:r>
              <w:rPr>
                <w:b/>
                <w:color w:val="FFFFFF"/>
                <w:sz w:val="18"/>
              </w:rPr>
              <w:t>Notes</w:t>
            </w:r>
          </w:p>
        </w:tc>
      </w:tr>
      <w:tr>
        <w:tc>
          <w:tcPr>
            <w:tcW w:type="dxa" w:w="3168"/>
          </w:tcPr>
          <w:p>
            <w:pPr>
              <w:spacing w:before="40" w:after="40"/>
            </w:pPr>
            <w:r>
              <w:rPr>
                <w:b w:val="0"/>
                <w:sz w:val="19"/>
              </w:rPr>
              <w:t>Claude API — China digest</w:t>
            </w:r>
          </w:p>
        </w:tc>
        <w:tc>
          <w:tcPr>
            <w:tcW w:type="dxa" w:w="1872"/>
          </w:tcPr>
          <w:p>
            <w:pPr>
              <w:spacing w:before="40" w:after="40"/>
            </w:pPr>
            <w:r>
              <w:rPr>
                <w:b w:val="0"/>
                <w:sz w:val="19"/>
              </w:rPr>
              <w:t>~$5–8</w:t>
            </w:r>
          </w:p>
        </w:tc>
        <w:tc>
          <w:tcPr>
            <w:tcW w:type="dxa" w:w="3888"/>
          </w:tcPr>
          <w:p>
            <w:pPr>
              <w:spacing w:before="40" w:after="40"/>
            </w:pPr>
            <w:r>
              <w:rPr>
                <w:b w:val="0"/>
                <w:sz w:val="19"/>
              </w:rPr>
              <w:t>~$0.13/run on Sonnet; ~$0.65/run if Opus retry needed</w:t>
            </w:r>
          </w:p>
        </w:tc>
      </w:tr>
      <w:tr>
        <w:tc>
          <w:tcPr>
            <w:tcW w:type="dxa" w:w="3168"/>
            <w:shd w:val="clear" w:color="auto" w:fill="F4F6F9"/>
          </w:tcPr>
          <w:p>
            <w:pPr>
              <w:spacing w:before="40" w:after="40"/>
            </w:pPr>
            <w:r>
              <w:rPr>
                <w:b w:val="0"/>
                <w:sz w:val="19"/>
              </w:rPr>
              <w:t>Claude API — Korea digest</w:t>
            </w:r>
          </w:p>
        </w:tc>
        <w:tc>
          <w:tcPr>
            <w:tcW w:type="dxa" w:w="1872"/>
            <w:shd w:val="clear" w:color="auto" w:fill="F4F6F9"/>
          </w:tcPr>
          <w:p>
            <w:pPr>
              <w:spacing w:before="40" w:after="40"/>
            </w:pPr>
            <w:r>
              <w:rPr>
                <w:b w:val="0"/>
                <w:sz w:val="19"/>
              </w:rPr>
              <w:t>~$5–8</w:t>
            </w:r>
          </w:p>
        </w:tc>
        <w:tc>
          <w:tcPr>
            <w:tcW w:type="dxa" w:w="3888"/>
            <w:shd w:val="clear" w:color="auto" w:fill="F4F6F9"/>
          </w:tcPr>
          <w:p>
            <w:pPr>
              <w:spacing w:before="40" w:after="40"/>
            </w:pPr>
            <w:r>
              <w:rPr>
                <w:b w:val="0"/>
                <w:sz w:val="19"/>
              </w:rPr>
              <w:t>Same model logic, slightly smaller payload</w:t>
            </w:r>
          </w:p>
        </w:tc>
      </w:tr>
      <w:tr>
        <w:tc>
          <w:tcPr>
            <w:tcW w:type="dxa" w:w="3168"/>
          </w:tcPr>
          <w:p>
            <w:pPr>
              <w:spacing w:before="40" w:after="40"/>
            </w:pPr>
            <w:r>
              <w:rPr>
                <w:b w:val="0"/>
                <w:sz w:val="19"/>
              </w:rPr>
              <w:t>GitHub Actions + Pages</w:t>
            </w:r>
          </w:p>
        </w:tc>
        <w:tc>
          <w:tcPr>
            <w:tcW w:type="dxa" w:w="1872"/>
          </w:tcPr>
          <w:p>
            <w:pPr>
              <w:spacing w:before="40" w:after="40"/>
            </w:pPr>
            <w:r>
              <w:rPr>
                <w:b w:val="0"/>
                <w:sz w:val="19"/>
              </w:rPr>
              <w:t>$0</w:t>
            </w:r>
          </w:p>
        </w:tc>
        <w:tc>
          <w:tcPr>
            <w:tcW w:type="dxa" w:w="3888"/>
          </w:tcPr>
          <w:p>
            <w:pPr>
              <w:spacing w:before="40" w:after="40"/>
            </w:pPr>
            <w:r>
              <w:rPr>
                <w:b w:val="0"/>
                <w:sz w:val="19"/>
              </w:rPr>
              <w:t>Free for public repositories</w:t>
            </w:r>
          </w:p>
        </w:tc>
      </w:tr>
      <w:tr>
        <w:tc>
          <w:tcPr>
            <w:tcW w:type="dxa" w:w="3168"/>
            <w:shd w:val="clear" w:color="auto" w:fill="F4F6F9"/>
          </w:tcPr>
          <w:p>
            <w:pPr>
              <w:spacing w:before="40" w:after="40"/>
            </w:pPr>
            <w:r>
              <w:rPr>
                <w:b w:val="0"/>
                <w:sz w:val="19"/>
              </w:rPr>
              <w:t>Gmail SMTP</w:t>
            </w:r>
          </w:p>
        </w:tc>
        <w:tc>
          <w:tcPr>
            <w:tcW w:type="dxa" w:w="1872"/>
            <w:shd w:val="clear" w:color="auto" w:fill="F4F6F9"/>
          </w:tcPr>
          <w:p>
            <w:pPr>
              <w:spacing w:before="40" w:after="40"/>
            </w:pPr>
            <w:r>
              <w:rPr>
                <w:b w:val="0"/>
                <w:sz w:val="19"/>
              </w:rPr>
              <w:t>$0</w:t>
            </w:r>
          </w:p>
        </w:tc>
        <w:tc>
          <w:tcPr>
            <w:tcW w:type="dxa" w:w="3888"/>
            <w:shd w:val="clear" w:color="auto" w:fill="F4F6F9"/>
          </w:tcPr>
          <w:p>
            <w:pPr>
              <w:spacing w:before="40" w:after="40"/>
            </w:pPr>
            <w:r>
              <w:rPr>
                <w:b w:val="0"/>
                <w:sz w:val="19"/>
              </w:rPr>
              <w:t>Free with a standard Gmail account</w:t>
            </w:r>
          </w:p>
        </w:tc>
      </w:tr>
      <w:tr>
        <w:tc>
          <w:tcPr>
            <w:tcW w:type="dxa" w:w="3168"/>
          </w:tcPr>
          <w:p>
            <w:pPr>
              <w:spacing w:before="40" w:after="40"/>
            </w:pPr>
            <w:r>
              <w:rPr>
                <w:b w:val="0"/>
                <w:sz w:val="19"/>
              </w:rPr>
              <w:t>Claude Code (dev tool)</w:t>
            </w:r>
          </w:p>
        </w:tc>
        <w:tc>
          <w:tcPr>
            <w:tcW w:type="dxa" w:w="1872"/>
          </w:tcPr>
          <w:p>
            <w:pPr>
              <w:spacing w:before="40" w:after="40"/>
            </w:pPr>
            <w:r>
              <w:rPr>
                <w:b w:val="0"/>
                <w:sz w:val="19"/>
              </w:rPr>
              <w:t>~$20</w:t>
            </w:r>
          </w:p>
        </w:tc>
        <w:tc>
          <w:tcPr>
            <w:tcW w:type="dxa" w:w="3888"/>
          </w:tcPr>
          <w:p>
            <w:pPr>
              <w:spacing w:before="40" w:after="40"/>
            </w:pPr>
            <w:r>
              <w:rPr>
                <w:b w:val="0"/>
                <w:sz w:val="19"/>
              </w:rPr>
              <w:t>Only needed if making changes to the pipeline</w:t>
            </w:r>
          </w:p>
        </w:tc>
      </w:tr>
      <w:tr>
        <w:tc>
          <w:tcPr>
            <w:tcW w:type="dxa" w:w="3168"/>
            <w:shd w:val="clear" w:color="auto" w:fill="F4F6F9"/>
          </w:tcPr>
          <w:p>
            <w:pPr>
              <w:spacing w:before="40" w:after="40"/>
            </w:pPr>
            <w:r>
              <w:rPr>
                <w:b w:val="0"/>
                <w:sz w:val="19"/>
              </w:rPr>
              <w:t>TOTAL (both digests running)</w:t>
            </w:r>
          </w:p>
        </w:tc>
        <w:tc>
          <w:tcPr>
            <w:tcW w:type="dxa" w:w="1872"/>
            <w:shd w:val="clear" w:color="auto" w:fill="F4F6F9"/>
          </w:tcPr>
          <w:p>
            <w:pPr>
              <w:spacing w:before="40" w:after="40"/>
            </w:pPr>
            <w:r>
              <w:rPr>
                <w:b w:val="0"/>
                <w:sz w:val="19"/>
              </w:rPr>
              <w:t>~$30–35/month</w:t>
            </w:r>
          </w:p>
        </w:tc>
        <w:tc>
          <w:tcPr>
            <w:tcW w:type="dxa" w:w="3888"/>
            <w:shd w:val="clear" w:color="auto" w:fill="F4F6F9"/>
          </w:tcPr>
          <w:p>
            <w:pPr>
              <w:spacing w:before="40" w:after="40"/>
            </w:pPr>
            <w:r>
              <w:rPr>
                <w:b w:val="0"/>
                <w:sz w:val="19"/>
              </w:rPr>
            </w:r>
          </w:p>
        </w:tc>
      </w:tr>
    </w:tbl>
    <w:p/>
    <w:p>
      <w:pPr>
        <w:spacing w:before="120" w:after="160"/>
        <w:ind w:left="288"/>
        <w:pBdr>
          <w:left w:val="single" w:sz="12" w:space="6" w:color="1B2A4A"/>
        </w:pBdr>
      </w:pPr>
      <w:r>
        <w:rPr>
          <w:b/>
          <w:color w:val="1B2A4A"/>
          <w:sz w:val="20"/>
        </w:rPr>
        <w:t xml:space="preserve">How the AI pricing works:  </w:t>
      </w:r>
      <w:r>
        <w:rPr>
          <w:color w:val="555555"/>
          <w:sz w:val="21"/>
        </w:rPr>
        <w:t>The pipeline tries the cheaper model (Sonnet, ~$0.13/run) first. If the output doesn't meet quality minimums — word count, section completeness, source diversity — it automatically retries with the more powerful model (Opus, ~$0.65/run). Most days Sonnet is sufficient.</w:t>
      </w:r>
    </w:p>
    <w:p>
      <w:pPr>
        <w:spacing w:before="280" w:after="80"/>
        <w:pBdr>
          <w:bottom w:val="single" w:sz="6" w:space="1" w:color="1B2A4A"/>
        </w:pBdr>
      </w:pPr>
      <w:r>
        <w:rPr>
          <w:b/>
          <w:i w:val="0"/>
          <w:color w:val="1B2A4A"/>
          <w:sz w:val="36"/>
        </w:rPr>
        <w:t>6.  Hallucination — What It Is and How We Control It</w:t>
      </w:r>
    </w:p>
    <w:p>
      <w:pPr>
        <w:spacing w:before="0" w:after="160"/>
      </w:pPr>
      <w:r>
        <w:rPr>
          <w:b w:val="0"/>
          <w:i w:val="0"/>
          <w:color w:val="555555"/>
          <w:sz w:val="22"/>
        </w:rPr>
        <w:t>Hallucination is when an AI model generates plausible-sounding but false information — fabricated names, invented quotes, made-up article titles, or links that go nowhere. This is the primary credibility risk for any AI-generated briefing.</w:t>
      </w:r>
    </w:p>
    <w:p>
      <w:pPr>
        <w:spacing w:before="0" w:after="80"/>
      </w:pPr>
      <w:r>
        <w:rPr>
          <w:b/>
          <w:i w:val="0"/>
          <w:color w:val="1B2A4A"/>
          <w:sz w:val="22"/>
        </w:rPr>
        <w:t>What we do about it:</w:t>
      </w:r>
    </w:p>
    <w:p>
      <w:pPr>
        <w:pStyle w:val="ListBullet"/>
        <w:spacing w:before="20" w:after="60"/>
        <w:ind w:left="360"/>
      </w:pPr>
      <w:r>
        <w:rPr>
          <w:b/>
          <w:color w:val="1B2A4A"/>
          <w:sz w:val="21"/>
        </w:rPr>
        <w:t xml:space="preserve">Grounded inputs: </w:t>
      </w:r>
      <w:r>
        <w:rPr>
          <w:color w:val="555555"/>
          <w:sz w:val="21"/>
        </w:rPr>
        <w:t>Claude is only allowed to use articles it was actually given as input. It cannot invent sources.</w:t>
      </w:r>
    </w:p>
    <w:p>
      <w:pPr>
        <w:pStyle w:val="ListBullet"/>
        <w:spacing w:before="20" w:after="60"/>
        <w:ind w:left="360"/>
      </w:pPr>
      <w:r>
        <w:rPr>
          <w:b/>
          <w:color w:val="1B2A4A"/>
          <w:sz w:val="21"/>
        </w:rPr>
        <w:t xml:space="preserve">URL discipline: </w:t>
      </w:r>
      <w:r>
        <w:rPr>
          <w:color w:val="555555"/>
          <w:sz w:val="21"/>
        </w:rPr>
        <w:t>Every URL in the digest must come verbatim from the source articles. Claude is explicitly instructed never to construct or modify a URL.</w:t>
      </w:r>
    </w:p>
    <w:p>
      <w:pPr>
        <w:pStyle w:val="ListBullet"/>
        <w:spacing w:before="20" w:after="60"/>
        <w:ind w:left="360"/>
      </w:pPr>
      <w:r>
        <w:rPr>
          <w:b/>
          <w:color w:val="1B2A4A"/>
          <w:sz w:val="21"/>
        </w:rPr>
        <w:t xml:space="preserve">Link verification: </w:t>
      </w:r>
      <w:r>
        <w:rPr>
          <w:color w:val="555555"/>
          <w:sz w:val="21"/>
        </w:rPr>
        <w:t>All Google News redirect links are resolved to the real article URL before Claude sees them. Any unresolvable links are stripped before the email sends.</w:t>
      </w:r>
    </w:p>
    <w:p>
      <w:pPr>
        <w:pStyle w:val="ListBullet"/>
        <w:spacing w:before="20" w:after="60"/>
        <w:ind w:left="360"/>
      </w:pPr>
      <w:r>
        <w:rPr>
          <w:b/>
          <w:color w:val="1B2A4A"/>
          <w:sz w:val="21"/>
        </w:rPr>
        <w:t xml:space="preserve">Pre-send validation: </w:t>
      </w:r>
      <w:r>
        <w:rPr>
          <w:color w:val="555555"/>
          <w:sz w:val="21"/>
        </w:rPr>
        <w:t>The digest is checked before sending: minimum word count, required sections present, no 'None' strings, no placeholder text, date matches today.</w:t>
      </w:r>
    </w:p>
    <w:p>
      <w:pPr>
        <w:pStyle w:val="ListBullet"/>
        <w:spacing w:before="20" w:after="60"/>
        <w:ind w:left="360"/>
      </w:pPr>
      <w:r>
        <w:rPr>
          <w:b/>
          <w:color w:val="1B2A4A"/>
          <w:sz w:val="21"/>
        </w:rPr>
        <w:t xml:space="preserve">Expert analyst grounding: </w:t>
      </w:r>
      <w:r>
        <w:rPr>
          <w:color w:val="555555"/>
          <w:sz w:val="21"/>
        </w:rPr>
        <w:t>Think tank citations (CSIS, CFR, etc.) must come from the actual RSS feeds — Claude cannot add expert analysis entries that weren't in the input.</w:t>
      </w:r>
    </w:p>
    <w:p>
      <w:pPr>
        <w:pStyle w:val="ListBullet"/>
        <w:spacing w:before="20" w:after="60"/>
        <w:ind w:left="360"/>
      </w:pPr>
      <w:r>
        <w:rPr>
          <w:b/>
          <w:color w:val="1B2A4A"/>
          <w:sz w:val="21"/>
        </w:rPr>
        <w:t xml:space="preserve">Scope limits: </w:t>
      </w:r>
      <w:r>
        <w:rPr>
          <w:color w:val="555555"/>
          <w:sz w:val="21"/>
        </w:rPr>
        <w:t>No signals intelligence, no paywalled content, no classified sources. The pipeline only reads what is publicly and freely available.</w:t>
      </w:r>
    </w:p>
    <w:p>
      <w:pPr>
        <w:spacing w:before="0" w:after="80"/>
      </w:pPr>
      <w:r>
        <w:rPr>
          <w:b w:val="0"/>
          <w:i w:val="0"/>
          <w:sz w:val="22"/>
        </w:rPr>
      </w:r>
    </w:p>
    <w:p>
      <w:pPr>
        <w:spacing w:before="120" w:after="160"/>
        <w:ind w:left="288"/>
        <w:pBdr>
          <w:left w:val="single" w:sz="12" w:space="6" w:color="C0392B"/>
        </w:pBdr>
      </w:pPr>
      <w:r>
        <w:rPr>
          <w:b/>
          <w:color w:val="C0392B"/>
          <w:sz w:val="20"/>
        </w:rPr>
        <w:t xml:space="preserve">Residual risk:  </w:t>
      </w:r>
      <w:r>
        <w:rPr>
          <w:color w:val="555555"/>
          <w:sz w:val="21"/>
        </w:rPr>
        <w:t>The 'So what' analysis and pattern notes are AI-generated interpretations, not sourced facts. They are intended as prompts for thinking, not finished analytical judgments. Headlines and article summaries are grounded in real sources.</w:t>
      </w:r>
    </w:p>
    <w:p>
      <w:pPr>
        <w:spacing w:before="280" w:after="80"/>
        <w:pBdr>
          <w:bottom w:val="single" w:sz="6" w:space="1" w:color="1B2A4A"/>
        </w:pBdr>
      </w:pPr>
      <w:r>
        <w:rPr>
          <w:b/>
          <w:i w:val="0"/>
          <w:color w:val="1B2A4A"/>
          <w:sz w:val="36"/>
        </w:rPr>
        <w:t>7.  Replicating for Another Country or Topic</w:t>
      </w:r>
    </w:p>
    <w:p>
      <w:pPr>
        <w:spacing w:before="0" w:after="160"/>
      </w:pPr>
      <w:r>
        <w:rPr>
          <w:b w:val="0"/>
          <w:i w:val="0"/>
          <w:color w:val="555555"/>
          <w:sz w:val="22"/>
        </w:rPr>
        <w:t>The pipeline is country-agnostic. The hard infrastructure — scheduler, email delivery, validation, HTML rendering, market strip — stays exactly the same. What changes is the content layer.</w:t>
      </w:r>
    </w:p>
    <w:tbl>
      <w:tblPr>
        <w:tblStyle w:val="TableGrid"/>
        <w:tblW w:type="auto" w:w="0"/>
        <w:jc w:val="left"/>
        <w:tblLook w:firstColumn="1" w:firstRow="1" w:lastColumn="0" w:lastRow="0" w:noHBand="0" w:noVBand="1" w:val="04A0"/>
      </w:tblPr>
      <w:tblGrid>
        <w:gridCol w:w="3135"/>
        <w:gridCol w:w="3135"/>
        <w:gridCol w:w="3135"/>
      </w:tblGrid>
      <w:tr>
        <w:tc>
          <w:tcPr>
            <w:tcW w:type="dxa" w:w="1872"/>
            <w:shd w:val="clear" w:color="auto" w:fill="1B2A4A"/>
          </w:tcPr>
          <w:p>
            <w:pPr>
              <w:spacing w:before="40" w:after="40"/>
            </w:pPr>
            <w:r>
              <w:rPr>
                <w:b/>
                <w:color w:val="FFFFFF"/>
                <w:sz w:val="18"/>
              </w:rPr>
              <w:t>File</w:t>
            </w:r>
          </w:p>
        </w:tc>
        <w:tc>
          <w:tcPr>
            <w:tcW w:type="dxa" w:w="5040"/>
            <w:shd w:val="clear" w:color="auto" w:fill="1B2A4A"/>
          </w:tcPr>
          <w:p>
            <w:pPr>
              <w:spacing w:before="40" w:after="40"/>
            </w:pPr>
            <w:r>
              <w:rPr>
                <w:b/>
                <w:color w:val="FFFFFF"/>
                <w:sz w:val="18"/>
              </w:rPr>
              <w:t>What You Change</w:t>
            </w:r>
          </w:p>
        </w:tc>
        <w:tc>
          <w:tcPr>
            <w:tcW w:type="dxa" w:w="1440"/>
            <w:shd w:val="clear" w:color="auto" w:fill="1B2A4A"/>
          </w:tcPr>
          <w:p>
            <w:pPr>
              <w:spacing w:before="40" w:after="40"/>
            </w:pPr>
            <w:r>
              <w:rPr>
                <w:b/>
                <w:color w:val="FFFFFF"/>
                <w:sz w:val="18"/>
              </w:rPr>
              <w:t>Time</w:t>
            </w:r>
          </w:p>
        </w:tc>
      </w:tr>
      <w:tr>
        <w:tc>
          <w:tcPr>
            <w:tcW w:type="dxa" w:w="1872"/>
          </w:tcPr>
          <w:p>
            <w:pPr>
              <w:spacing w:before="40" w:after="40"/>
            </w:pPr>
            <w:r>
              <w:rPr>
                <w:b w:val="0"/>
                <w:sz w:val="19"/>
              </w:rPr>
              <w:t>collect.py</w:t>
            </w:r>
          </w:p>
        </w:tc>
        <w:tc>
          <w:tcPr>
            <w:tcW w:type="dxa" w:w="5040"/>
          </w:tcPr>
          <w:p>
            <w:pPr>
              <w:spacing w:before="40" w:after="40"/>
            </w:pPr>
            <w:r>
              <w:rPr>
                <w:b w:val="0"/>
                <w:sz w:val="19"/>
              </w:rPr>
              <w:t>Swap in new RSS feeds for the target country/topic</w:t>
            </w:r>
          </w:p>
        </w:tc>
        <w:tc>
          <w:tcPr>
            <w:tcW w:type="dxa" w:w="1440"/>
          </w:tcPr>
          <w:p>
            <w:pPr>
              <w:spacing w:before="40" w:after="40"/>
            </w:pPr>
            <w:r>
              <w:rPr>
                <w:b w:val="0"/>
                <w:sz w:val="19"/>
              </w:rPr>
              <w:t>1–2 days</w:t>
            </w:r>
          </w:p>
        </w:tc>
      </w:tr>
      <w:tr>
        <w:tc>
          <w:tcPr>
            <w:tcW w:type="dxa" w:w="1872"/>
            <w:shd w:val="clear" w:color="auto" w:fill="F4F6F9"/>
          </w:tcPr>
          <w:p>
            <w:pPr>
              <w:spacing w:before="40" w:after="40"/>
            </w:pPr>
            <w:r>
              <w:rPr>
                <w:b w:val="0"/>
                <w:sz w:val="19"/>
              </w:rPr>
              <w:t>digest.py</w:t>
            </w:r>
          </w:p>
        </w:tc>
        <w:tc>
          <w:tcPr>
            <w:tcW w:type="dxa" w:w="5040"/>
            <w:shd w:val="clear" w:color="auto" w:fill="F4F6F9"/>
          </w:tcPr>
          <w:p>
            <w:pPr>
              <w:spacing w:before="40" w:after="40"/>
            </w:pPr>
            <w:r>
              <w:rPr>
                <w:b w:val="0"/>
                <w:sz w:val="19"/>
              </w:rPr>
              <w:t>Rewrite Claude's instructions with the right analytical frame (e.g. India-Pakistan dynamics, Gulf security)</w:t>
            </w:r>
          </w:p>
        </w:tc>
        <w:tc>
          <w:tcPr>
            <w:tcW w:type="dxa" w:w="1440"/>
            <w:shd w:val="clear" w:color="auto" w:fill="F4F6F9"/>
          </w:tcPr>
          <w:p>
            <w:pPr>
              <w:spacing w:before="40" w:after="40"/>
            </w:pPr>
            <w:r>
              <w:rPr>
                <w:b w:val="0"/>
                <w:sz w:val="19"/>
              </w:rPr>
              <w:t>Half a day</w:t>
            </w:r>
          </w:p>
        </w:tc>
      </w:tr>
      <w:tr>
        <w:tc>
          <w:tcPr>
            <w:tcW w:type="dxa" w:w="1872"/>
          </w:tcPr>
          <w:p>
            <w:pPr>
              <w:spacing w:before="40" w:after="40"/>
            </w:pPr>
            <w:r>
              <w:rPr>
                <w:b w:val="0"/>
                <w:sz w:val="19"/>
              </w:rPr>
              <w:t>render.py</w:t>
            </w:r>
          </w:p>
        </w:tc>
        <w:tc>
          <w:tcPr>
            <w:tcW w:type="dxa" w:w="5040"/>
          </w:tcPr>
          <w:p>
            <w:pPr>
              <w:spacing w:before="40" w:after="40"/>
            </w:pPr>
            <w:r>
              <w:rPr>
                <w:b w:val="0"/>
                <w:sz w:val="19"/>
              </w:rPr>
              <w:t>Update branding, header name, section labels</w:t>
            </w:r>
          </w:p>
        </w:tc>
        <w:tc>
          <w:tcPr>
            <w:tcW w:type="dxa" w:w="1440"/>
          </w:tcPr>
          <w:p>
            <w:pPr>
              <w:spacing w:before="40" w:after="40"/>
            </w:pPr>
            <w:r>
              <w:rPr>
                <w:b w:val="0"/>
                <w:sz w:val="19"/>
              </w:rPr>
              <w:t>A few hours</w:t>
            </w:r>
          </w:p>
        </w:tc>
      </w:tr>
      <w:tr>
        <w:tc>
          <w:tcPr>
            <w:tcW w:type="dxa" w:w="1872"/>
            <w:shd w:val="clear" w:color="auto" w:fill="F4F6F9"/>
          </w:tcPr>
          <w:p>
            <w:pPr>
              <w:spacing w:before="40" w:after="40"/>
            </w:pPr>
            <w:r>
              <w:rPr>
                <w:b w:val="0"/>
                <w:sz w:val="19"/>
              </w:rPr>
              <w:t>send_email.py</w:t>
            </w:r>
          </w:p>
        </w:tc>
        <w:tc>
          <w:tcPr>
            <w:tcW w:type="dxa" w:w="5040"/>
            <w:shd w:val="clear" w:color="auto" w:fill="F4F6F9"/>
          </w:tcPr>
          <w:p>
            <w:pPr>
              <w:spacing w:before="40" w:after="40"/>
            </w:pPr>
            <w:r>
              <w:rPr>
                <w:b w:val="0"/>
                <w:sz w:val="19"/>
              </w:rPr>
              <w:t>Update recipient list</w:t>
            </w:r>
          </w:p>
        </w:tc>
        <w:tc>
          <w:tcPr>
            <w:tcW w:type="dxa" w:w="1440"/>
            <w:shd w:val="clear" w:color="auto" w:fill="F4F6F9"/>
          </w:tcPr>
          <w:p>
            <w:pPr>
              <w:spacing w:before="40" w:after="40"/>
            </w:pPr>
            <w:r>
              <w:rPr>
                <w:b w:val="0"/>
                <w:sz w:val="19"/>
              </w:rPr>
              <w:t>10 minutes</w:t>
            </w:r>
          </w:p>
        </w:tc>
      </w:tr>
    </w:tbl>
    <w:p/>
    <w:p>
      <w:pPr>
        <w:spacing w:before="0" w:after="80"/>
      </w:pPr>
      <w:r>
        <w:rPr>
          <w:b/>
          <w:i w:val="0"/>
          <w:color w:val="1B2A4A"/>
          <w:sz w:val="22"/>
        </w:rPr>
        <w:t>What would be harder:</w:t>
      </w:r>
    </w:p>
    <w:p>
      <w:pPr>
        <w:pStyle w:val="ListBullet"/>
        <w:spacing w:before="20" w:after="60"/>
        <w:ind w:left="360"/>
      </w:pPr>
      <w:r>
        <w:rPr>
          <w:b/>
          <w:color w:val="1B2A4A"/>
          <w:sz w:val="21"/>
        </w:rPr>
        <w:t xml:space="preserve">Paywalled sources: </w:t>
      </w:r>
      <w:r>
        <w:rPr>
          <w:color w:val="555555"/>
          <w:sz w:val="21"/>
        </w:rPr>
        <w:t>WSJ, FT, Bloomberg full-text requires subscriptions. We use RSS headlines and summaries (publicly available for free).</w:t>
      </w:r>
    </w:p>
    <w:p>
      <w:pPr>
        <w:pStyle w:val="ListBullet"/>
        <w:spacing w:before="20" w:after="60"/>
        <w:ind w:left="360"/>
      </w:pPr>
      <w:r>
        <w:rPr>
          <w:b/>
          <w:color w:val="1B2A4A"/>
          <w:sz w:val="21"/>
        </w:rPr>
        <w:t xml:space="preserve">Non-English primary sources: </w:t>
      </w:r>
      <w:r>
        <w:rPr>
          <w:color w:val="555555"/>
          <w:sz w:val="21"/>
        </w:rPr>
        <w:t>Claude reads Chinese, Korean, Arabic, Russian, Farsi natively, but good public RSS feeds need to exist for the target language.</w:t>
      </w:r>
    </w:p>
    <w:p>
      <w:pPr>
        <w:pStyle w:val="ListBullet"/>
        <w:spacing w:before="20" w:after="60"/>
        <w:ind w:left="360"/>
      </w:pPr>
      <w:r>
        <w:rPr>
          <w:b/>
          <w:color w:val="1B2A4A"/>
          <w:sz w:val="21"/>
        </w:rPr>
        <w:t xml:space="preserve">Highly specialized topics: </w:t>
      </w:r>
      <w:r>
        <w:rPr>
          <w:color w:val="555555"/>
          <w:sz w:val="21"/>
        </w:rPr>
        <w:t>The more niche the subject, the fewer RSS feeds exist. Very specialized topics (specific weapons programs, subnational politics) may need manual source curation.</w:t>
      </w:r>
    </w:p>
    <w:p>
      <w:pPr>
        <w:spacing w:before="0" w:after="80"/>
      </w:pPr>
      <w:r>
        <w:rPr>
          <w:b w:val="0"/>
          <w:i w:val="0"/>
          <w:sz w:val="22"/>
        </w:rPr>
      </w:r>
    </w:p>
    <w:p>
      <w:pPr>
        <w:spacing w:before="120" w:after="160"/>
        <w:ind w:left="288"/>
        <w:pBdr>
          <w:left w:val="single" w:sz="12" w:space="6" w:color="1B2A4A"/>
        </w:pBdr>
      </w:pPr>
      <w:r>
        <w:rPr>
          <w:b/>
          <w:color w:val="1B2A4A"/>
          <w:sz w:val="20"/>
        </w:rPr>
        <w:t xml:space="preserve">Realistic estimate:  </w:t>
      </w:r>
      <w:r>
        <w:rPr>
          <w:color w:val="555555"/>
          <w:sz w:val="21"/>
        </w:rPr>
        <w:t>A Japan digest or Southeast Asia digest could be running in 3–5 days of part-time work, built on top of the existing codebase.</w:t>
      </w:r>
    </w:p>
    <w:p>
      <w:pPr>
        <w:spacing w:before="280" w:after="80"/>
        <w:pBdr>
          <w:bottom w:val="single" w:sz="6" w:space="1" w:color="1B2A4A"/>
        </w:pBdr>
      </w:pPr>
      <w:r>
        <w:rPr>
          <w:b/>
          <w:i w:val="0"/>
          <w:color w:val="1B2A4A"/>
          <w:sz w:val="36"/>
        </w:rPr>
        <w:t>8.  Do You Need Claude Code After Setup?</w:t>
      </w:r>
    </w:p>
    <w:p>
      <w:pPr>
        <w:spacing w:before="0" w:after="160"/>
      </w:pPr>
      <w:r>
        <w:rPr>
          <w:b w:val="0"/>
          <w:i w:val="0"/>
          <w:color w:val="555555"/>
          <w:sz w:val="22"/>
        </w:rPr>
        <w:t>No. Once the pipeline is set up and running, it runs fully automatically. Claude Code is a development tool — it was used to build, debug, and improve the pipeline. It is not part of the daily operation.</w:t>
      </w:r>
    </w:p>
    <w:tbl>
      <w:tblPr>
        <w:tblStyle w:val="TableGrid"/>
        <w:tblW w:type="auto" w:w="0"/>
        <w:jc w:val="left"/>
        <w:tblLook w:firstColumn="1" w:firstRow="1" w:lastColumn="0" w:lastRow="0" w:noHBand="0" w:noVBand="1" w:val="04A0"/>
      </w:tblPr>
      <w:tblGrid>
        <w:gridCol w:w="4703"/>
        <w:gridCol w:w="4703"/>
      </w:tblGrid>
      <w:tr>
        <w:tc>
          <w:tcPr>
            <w:tcW w:type="dxa" w:w="5472"/>
            <w:shd w:val="clear" w:color="auto" w:fill="1B2A4A"/>
          </w:tcPr>
          <w:p>
            <w:pPr>
              <w:spacing w:before="40" w:after="40"/>
            </w:pPr>
            <w:r>
              <w:rPr>
                <w:b/>
                <w:color w:val="FFFFFF"/>
                <w:sz w:val="18"/>
              </w:rPr>
              <w:t>Scenario</w:t>
            </w:r>
          </w:p>
        </w:tc>
        <w:tc>
          <w:tcPr>
            <w:tcW w:type="dxa" w:w="2160"/>
            <w:shd w:val="clear" w:color="auto" w:fill="1B2A4A"/>
          </w:tcPr>
          <w:p>
            <w:pPr>
              <w:spacing w:before="40" w:after="40"/>
            </w:pPr>
            <w:r>
              <w:rPr>
                <w:b/>
                <w:color w:val="FFFFFF"/>
                <w:sz w:val="18"/>
              </w:rPr>
              <w:t>Need Claude Code?</w:t>
            </w:r>
          </w:p>
        </w:tc>
      </w:tr>
      <w:tr>
        <w:tc>
          <w:tcPr>
            <w:tcW w:type="dxa" w:w="5472"/>
          </w:tcPr>
          <w:p>
            <w:pPr>
              <w:spacing w:before="40" w:after="40"/>
            </w:pPr>
            <w:r>
              <w:rPr>
                <w:b w:val="0"/>
                <w:sz w:val="19"/>
              </w:rPr>
              <w:t>Daily operation — pipeline runs, email sends</w:t>
            </w:r>
          </w:p>
        </w:tc>
        <w:tc>
          <w:tcPr>
            <w:tcW w:type="dxa" w:w="2160"/>
          </w:tcPr>
          <w:p>
            <w:pPr>
              <w:spacing w:before="40" w:after="40"/>
            </w:pPr>
            <w:r>
              <w:rPr>
                <w:b w:val="0"/>
                <w:sz w:val="19"/>
              </w:rPr>
              <w:t>No</w:t>
            </w:r>
          </w:p>
        </w:tc>
      </w:tr>
      <w:tr>
        <w:tc>
          <w:tcPr>
            <w:tcW w:type="dxa" w:w="5472"/>
            <w:shd w:val="clear" w:color="auto" w:fill="F4F6F9"/>
          </w:tcPr>
          <w:p>
            <w:pPr>
              <w:spacing w:before="40" w:after="40"/>
            </w:pPr>
            <w:r>
              <w:rPr>
                <w:b w:val="0"/>
                <w:sz w:val="19"/>
              </w:rPr>
              <w:t>Adding a new RSS source feed</w:t>
            </w:r>
          </w:p>
        </w:tc>
        <w:tc>
          <w:tcPr>
            <w:tcW w:type="dxa" w:w="2160"/>
            <w:shd w:val="clear" w:color="auto" w:fill="F4F6F9"/>
          </w:tcPr>
          <w:p>
            <w:pPr>
              <w:spacing w:before="40" w:after="40"/>
            </w:pPr>
            <w:r>
              <w:rPr>
                <w:b w:val="0"/>
                <w:sz w:val="19"/>
              </w:rPr>
              <w:t>No — edit one line in collect.py</w:t>
            </w:r>
          </w:p>
        </w:tc>
      </w:tr>
      <w:tr>
        <w:tc>
          <w:tcPr>
            <w:tcW w:type="dxa" w:w="5472"/>
          </w:tcPr>
          <w:p>
            <w:pPr>
              <w:spacing w:before="40" w:after="40"/>
            </w:pPr>
            <w:r>
              <w:rPr>
                <w:b w:val="0"/>
                <w:sz w:val="19"/>
              </w:rPr>
              <w:t>Changing the recipient email list</w:t>
            </w:r>
          </w:p>
        </w:tc>
        <w:tc>
          <w:tcPr>
            <w:tcW w:type="dxa" w:w="2160"/>
          </w:tcPr>
          <w:p>
            <w:pPr>
              <w:spacing w:before="40" w:after="40"/>
            </w:pPr>
            <w:r>
              <w:rPr>
                <w:b w:val="0"/>
                <w:sz w:val="19"/>
              </w:rPr>
              <w:t>No — update an environment variable</w:t>
            </w:r>
          </w:p>
        </w:tc>
      </w:tr>
      <w:tr>
        <w:tc>
          <w:tcPr>
            <w:tcW w:type="dxa" w:w="5472"/>
            <w:shd w:val="clear" w:color="auto" w:fill="F4F6F9"/>
          </w:tcPr>
          <w:p>
            <w:pPr>
              <w:spacing w:before="40" w:after="40"/>
            </w:pPr>
            <w:r>
              <w:rPr>
                <w:b w:val="0"/>
                <w:sz w:val="19"/>
              </w:rPr>
              <w:t>Adjusting the send time</w:t>
            </w:r>
          </w:p>
        </w:tc>
        <w:tc>
          <w:tcPr>
            <w:tcW w:type="dxa" w:w="2160"/>
            <w:shd w:val="clear" w:color="auto" w:fill="F4F6F9"/>
          </w:tcPr>
          <w:p>
            <w:pPr>
              <w:spacing w:before="40" w:after="40"/>
            </w:pPr>
            <w:r>
              <w:rPr>
                <w:b w:val="0"/>
                <w:sz w:val="19"/>
              </w:rPr>
              <w:t>No — change one line in the GitHub Actions schedule</w:t>
            </w:r>
          </w:p>
        </w:tc>
      </w:tr>
      <w:tr>
        <w:tc>
          <w:tcPr>
            <w:tcW w:type="dxa" w:w="5472"/>
          </w:tcPr>
          <w:p>
            <w:pPr>
              <w:spacing w:before="40" w:after="40"/>
            </w:pPr>
            <w:r>
              <w:rPr>
                <w:b w:val="0"/>
                <w:sz w:val="19"/>
              </w:rPr>
              <w:t>Adding a new digest section</w:t>
            </w:r>
          </w:p>
        </w:tc>
        <w:tc>
          <w:tcPr>
            <w:tcW w:type="dxa" w:w="2160"/>
          </w:tcPr>
          <w:p>
            <w:pPr>
              <w:spacing w:before="40" w:after="40"/>
            </w:pPr>
            <w:r>
              <w:rPr>
                <w:b w:val="0"/>
                <w:sz w:val="19"/>
              </w:rPr>
              <w:t>Yes — requires prompt engineering and render changes</w:t>
            </w:r>
          </w:p>
        </w:tc>
      </w:tr>
      <w:tr>
        <w:tc>
          <w:tcPr>
            <w:tcW w:type="dxa" w:w="5472"/>
            <w:shd w:val="clear" w:color="auto" w:fill="F4F6F9"/>
          </w:tcPr>
          <w:p>
            <w:pPr>
              <w:spacing w:before="40" w:after="40"/>
            </w:pPr>
            <w:r>
              <w:rPr>
                <w:b w:val="0"/>
                <w:sz w:val="19"/>
              </w:rPr>
              <w:t>Debugging a pipeline failure</w:t>
            </w:r>
          </w:p>
        </w:tc>
        <w:tc>
          <w:tcPr>
            <w:tcW w:type="dxa" w:w="2160"/>
            <w:shd w:val="clear" w:color="auto" w:fill="F4F6F9"/>
          </w:tcPr>
          <w:p>
            <w:pPr>
              <w:spacing w:before="40" w:after="40"/>
            </w:pPr>
            <w:r>
              <w:rPr>
                <w:b w:val="0"/>
                <w:sz w:val="19"/>
              </w:rPr>
              <w:t>Helpful but not required</w:t>
            </w:r>
          </w:p>
        </w:tc>
      </w:tr>
      <w:tr>
        <w:tc>
          <w:tcPr>
            <w:tcW w:type="dxa" w:w="5472"/>
          </w:tcPr>
          <w:p>
            <w:pPr>
              <w:spacing w:before="40" w:after="40"/>
            </w:pPr>
            <w:r>
              <w:rPr>
                <w:b w:val="0"/>
                <w:sz w:val="19"/>
              </w:rPr>
              <w:t>Building a third digest (new country)</w:t>
            </w:r>
          </w:p>
        </w:tc>
        <w:tc>
          <w:tcPr>
            <w:tcW w:type="dxa" w:w="2160"/>
          </w:tcPr>
          <w:p>
            <w:pPr>
              <w:spacing w:before="40" w:after="40"/>
            </w:pPr>
            <w:r>
              <w:rPr>
                <w:b w:val="0"/>
                <w:sz w:val="19"/>
              </w:rPr>
              <w:t>Yes — 3–5 days of development</w:t>
            </w:r>
          </w:p>
        </w:tc>
      </w:tr>
    </w:tbl>
    <w:p/>
    <w:p>
      <w:pPr>
        <w:spacing w:before="120" w:after="160"/>
        <w:ind w:left="288"/>
        <w:pBdr>
          <w:left w:val="single" w:sz="12" w:space="6" w:color="1B2A4A"/>
        </w:pBdr>
      </w:pPr>
      <w:r>
        <w:rPr>
          <w:b/>
          <w:color w:val="1B2A4A"/>
          <w:sz w:val="20"/>
        </w:rPr>
        <w:t xml:space="preserve">Ongoing cost without Claude Code:  </w:t>
      </w:r>
      <w:r>
        <w:rPr>
          <w:color w:val="555555"/>
          <w:sz w:val="21"/>
        </w:rPr>
        <w:t>If no changes are being made, the ~$20/month Claude Code subscription can be cancelled. The pipeline continues running on just the Claude API (~$10–15/month for both digests).</w:t>
      </w:r>
    </w:p>
    <w:p>
      <w:pPr>
        <w:spacing w:before="280" w:after="80"/>
        <w:pBdr>
          <w:bottom w:val="single" w:sz="6" w:space="1" w:color="1B2A4A"/>
        </w:pBdr>
      </w:pPr>
      <w:r>
        <w:rPr>
          <w:b/>
          <w:i w:val="0"/>
          <w:color w:val="1B2A4A"/>
          <w:sz w:val="36"/>
        </w:rPr>
        <w:t>9.  Anticipated Questions</w:t>
      </w:r>
    </w:p>
    <w:p>
      <w:pPr>
        <w:spacing w:before="160" w:after="40"/>
      </w:pPr>
      <w:r>
        <w:rPr>
          <w:b/>
          <w:color w:val="1B2A4A"/>
          <w:sz w:val="22"/>
        </w:rPr>
        <w:t>Q: What happens if the AI gets something wrong?</w:t>
      </w:r>
    </w:p>
    <w:p>
      <w:pPr>
        <w:spacing w:before="0" w:after="80"/>
        <w:ind w:left="216"/>
      </w:pPr>
      <w:r>
        <w:rPr>
          <w:color w:val="555555"/>
          <w:sz w:val="21"/>
        </w:rPr>
        <w:t>The validation gate catches the most common failures before the email sends — missing sections, placeholder text, broken links. For analytical errors (e.g. a mischaracterized 'So what'), the pipeline doesn't self-correct; a human reader would need to flag it. This is why the 'So what' analysis should be treated as a prompt, not a verdict.</w:t>
      </w:r>
    </w:p>
    <w:p>
      <w:pPr>
        <w:spacing w:before="160" w:after="40"/>
      </w:pPr>
      <w:r>
        <w:rPr>
          <w:b/>
          <w:color w:val="1B2A4A"/>
          <w:sz w:val="22"/>
        </w:rPr>
        <w:t>Q: Could this be used for internal research distribution?</w:t>
      </w:r>
    </w:p>
    <w:p>
      <w:pPr>
        <w:spacing w:before="0" w:after="80"/>
        <w:ind w:left="216"/>
      </w:pPr>
      <w:r>
        <w:rPr>
          <w:color w:val="555555"/>
          <w:sz w:val="21"/>
        </w:rPr>
        <w:t>Yes — the recipient list is just a comma-separated environment variable. It can send to any number of email addresses. A distribution list of 20 people costs the same as a list of 1.</w:t>
      </w:r>
    </w:p>
    <w:p>
      <w:pPr>
        <w:spacing w:before="160" w:after="40"/>
      </w:pPr>
      <w:r>
        <w:rPr>
          <w:b/>
          <w:color w:val="1B2A4A"/>
          <w:sz w:val="22"/>
        </w:rPr>
        <w:t>Q: Is this secure / are our sources exposed?</w:t>
      </w:r>
    </w:p>
    <w:p>
      <w:pPr>
        <w:spacing w:before="0" w:after="80"/>
        <w:ind w:left="216"/>
      </w:pPr>
      <w:r>
        <w:rPr>
          <w:color w:val="555555"/>
          <w:sz w:val="21"/>
        </w:rPr>
        <w:t>The pipeline reads only publicly available RSS feeds and open websites. No credentials, subscriptions, or classified systems are accessed. The Anthropic API key and Gmail password are stored as encrypted GitHub secrets, not in the code.</w:t>
      </w:r>
    </w:p>
    <w:p>
      <w:pPr>
        <w:spacing w:before="160" w:after="40"/>
      </w:pPr>
      <w:r>
        <w:rPr>
          <w:b/>
          <w:color w:val="1B2A4A"/>
          <w:sz w:val="22"/>
        </w:rPr>
        <w:t>Q: What if Anthropic changes their pricing or Claude gets worse?</w:t>
      </w:r>
    </w:p>
    <w:p>
      <w:pPr>
        <w:spacing w:before="0" w:after="80"/>
        <w:ind w:left="216"/>
      </w:pPr>
      <w:r>
        <w:rPr>
          <w:color w:val="555555"/>
          <w:sz w:val="21"/>
        </w:rPr>
        <w:t>The pipeline is model-agnostic — the model name is a single variable. Switching to a different Claude model, or in principle a different AI provider, requires changing one line of code.</w:t>
      </w:r>
    </w:p>
    <w:p>
      <w:pPr>
        <w:spacing w:before="160" w:after="40"/>
      </w:pPr>
      <w:r>
        <w:rPr>
          <w:b/>
          <w:color w:val="1B2A4A"/>
          <w:sz w:val="22"/>
        </w:rPr>
        <w:t>Q: Could this replace a research assistant?</w:t>
      </w:r>
    </w:p>
    <w:p>
      <w:pPr>
        <w:spacing w:before="0" w:after="80"/>
        <w:ind w:left="216"/>
      </w:pPr>
      <w:r>
        <w:rPr>
          <w:color w:val="555555"/>
          <w:sz w:val="21"/>
        </w:rPr>
        <w:t>For the read-ahead function — scanning overnight news and producing a structured brief — yes, substantially. For deeper analytical work, follow-up research, stakeholder outreach, or judgment calls, no. It is best understood as freeing an analyst's morning for higher-value work.</w:t>
      </w:r>
    </w:p>
    <w:p>
      <w:pPr>
        <w:spacing w:before="160" w:after="40"/>
      </w:pPr>
      <w:r>
        <w:rPr>
          <w:b/>
          <w:color w:val="1B2A4A"/>
          <w:sz w:val="22"/>
        </w:rPr>
        <w:t>Q: How long did it take to build?</w:t>
      </w:r>
    </w:p>
    <w:p>
      <w:pPr>
        <w:spacing w:before="0" w:after="80"/>
        <w:ind w:left="216"/>
      </w:pPr>
      <w:r>
        <w:rPr>
          <w:color w:val="555555"/>
          <w:sz w:val="21"/>
        </w:rPr>
        <w:t>The Korea digest took about two weeks of part-time development to reach a reliable daily cadence. The China digest was built in roughly one week on top of the Korea codebase. Iteration has been ongoing — adding sections, improving source coverage, refining the prompt.</w:t>
      </w:r>
    </w:p>
    <w:p>
      <w:pPr>
        <w:spacing w:before="160" w:after="40"/>
      </w:pPr>
      <w:r>
        <w:rPr>
          <w:b/>
          <w:color w:val="1B2A4A"/>
          <w:sz w:val="22"/>
        </w:rPr>
        <w:t>Q: What does the email actually look like?</w:t>
      </w:r>
    </w:p>
    <w:p>
      <w:pPr>
        <w:spacing w:before="0" w:after="80"/>
        <w:ind w:left="216"/>
      </w:pPr>
      <w:r>
        <w:rPr>
          <w:color w:val="555555"/>
          <w:sz w:val="21"/>
        </w:rPr>
        <w:t>A styled HTML email roughly 1,200–1,400 words: dark navy header, market strip, numbered morning memo, white story cards with left-border accents, expert analyst cards with linked headlines, tracker sections for government/trade/satellite. Renders correctly in Gmail, Outlook, and Apple Mail.</w:t>
      </w:r>
    </w:p>
    <w:p>
      <w:pPr>
        <w:spacing w:before="160" w:after="40"/>
      </w:pPr>
      <w:r>
        <w:rPr>
          <w:b/>
          <w:color w:val="1B2A4A"/>
          <w:sz w:val="22"/>
        </w:rPr>
        <w:t>Q: Could this be done without coding knowledge?</w:t>
      </w:r>
    </w:p>
    <w:p>
      <w:pPr>
        <w:spacing w:before="0" w:after="80"/>
        <w:ind w:left="216"/>
      </w:pPr>
      <w:r>
        <w:rPr>
          <w:color w:val="555555"/>
          <w:sz w:val="21"/>
        </w:rPr>
        <w:t>Building it from scratch requires Python and some familiarity with APIs. Replicating an existing digest for a new country — swapping feeds and rewriting the prompt — is more accessible, especially with Claude Code guiding the edits. A motivated non-programmer could get there with a few days of guided work.</w:t>
      </w:r>
    </w:p>
    <w:p>
      <w:pPr>
        <w:spacing w:before="160" w:after="40"/>
      </w:pPr>
      <w:r>
        <w:rPr>
          <w:b/>
          <w:color w:val="1B2A4A"/>
          <w:sz w:val="22"/>
        </w:rPr>
        <w:t>Q: What is the biggest risk of this approach?</w:t>
      </w:r>
    </w:p>
    <w:p>
      <w:pPr>
        <w:spacing w:before="0" w:after="80"/>
        <w:ind w:left="216"/>
      </w:pPr>
      <w:r>
        <w:rPr>
          <w:color w:val="555555"/>
          <w:sz w:val="21"/>
        </w:rPr>
        <w:t>Source quality. The digest is only as good as its inputs. If a key source goes behind a paywall, changes its RSS format, or stops publishing, that coverage disappears without notification. Regular review of source coverage is the main ongoing maintenance task.</w:t>
      </w:r>
    </w:p>
    <w:p>
      <w:r>
        <w:br w:type="page"/>
      </w:r>
    </w:p>
    <w:p>
      <w:pPr>
        <w:spacing w:before="800"/>
        <w:jc w:val="center"/>
      </w:pPr>
      <w:r>
        <w:rPr>
          <w:color w:val="AAAAAA"/>
          <w:sz w:val="20"/>
        </w:rPr>
        <w:t>CSIS Korea Chair  ·  Daily Intelligence Digest  ·  May 2026</w:t>
      </w:r>
    </w:p>
    <w:p>
      <w:pPr>
        <w:jc w:val="center"/>
      </w:pPr>
      <w:r>
        <w:rPr>
          <w:color w:val="BBBBBB"/>
          <w:sz w:val="18"/>
        </w:rPr>
        <w:t>Code: github.com/andysaulim/Daily-China-Digest  ·  Prepared by Andy Lim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