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D4AC0D"/>
          <w:sz w:val="20"/>
        </w:rPr>
        <w:t>CSIS Korea Chair</w:t>
      </w:r>
    </w:p>
    <w:p>
      <w:pPr>
        <w:jc w:val="center"/>
      </w:pPr>
      <w:r>
        <w:rPr>
          <w:b/>
          <w:color w:val="1B2A4A"/>
          <w:sz w:val="52"/>
        </w:rPr>
        <w:t>Automated Daily Intelligence Digest</w:t>
      </w:r>
    </w:p>
    <w:p>
      <w:pPr>
        <w:spacing w:after="80"/>
        <w:jc w:val="center"/>
      </w:pPr>
      <w:r>
        <w:rPr>
          <w:color w:val="555555"/>
          <w:sz w:val="30"/>
        </w:rPr>
        <w:t>China Brief  ·  Korea Brief</w:t>
      </w:r>
    </w:p>
    <w:p>
      <w:pPr>
        <w:spacing w:after="560"/>
        <w:jc w:val="center"/>
      </w:pPr>
      <w:r>
        <w:rPr>
          <w:i/>
          <w:color w:val="888888"/>
          <w:sz w:val="22"/>
        </w:rPr>
        <w:t>What It Is · How It Works · Cost · Replication · Q&amp;A</w:t>
      </w:r>
    </w:p>
    <w:p>
      <w:pPr>
        <w:jc w:val="center"/>
      </w:pPr>
      <w:r>
        <w:rPr>
          <w:color w:val="888888"/>
          <w:sz w:val="20"/>
        </w:rPr>
        <w:t>Prepared by Andy Lim  ·  CSIS Korea Chair  ·  May 2026</w:t>
      </w:r>
    </w:p>
    <w:p>
      <w:r>
        <w:br w:type="page"/>
      </w:r>
    </w:p>
    <w:p>
      <w:pPr>
        <w:spacing w:before="320" w:after="80"/>
        <w:pBdr>
          <w:bottom w:val="single" w:sz="6" w:space="1" w:color="1B2A4A"/>
        </w:pBdr>
      </w:pPr>
      <w:r>
        <w:rPr>
          <w:b/>
          <w:i w:val="0"/>
          <w:color w:val="1B2A4A"/>
          <w:sz w:val="34"/>
        </w:rPr>
        <w:t>1.  What Is This?</w:t>
      </w:r>
    </w:p>
    <w:p>
      <w:pPr>
        <w:spacing w:before="0" w:after="160"/>
      </w:pPr>
      <w:r>
        <w:rPr>
          <w:b w:val="0"/>
          <w:i w:val="0"/>
          <w:color w:val="555555"/>
          <w:sz w:val="22"/>
        </w:rPr>
        <w:t>Two automated daily intelligence briefings — one on China, one on Korea — that deliver a Presidential Daily Brief-style email to your inbox at 6:30 AM ET every morning. Each covers overnight news, expert analysis, live market data, government actions, and satellite imagery flags across 130–138 sources. It takes 5 minutes to read and replaces the 90 minutes a morning it would take an analyst to do the same manually.</w:t>
      </w:r>
    </w:p>
    <w:p>
      <w:pPr>
        <w:spacing w:before="120" w:after="200"/>
        <w:ind w:left="288"/>
        <w:pBdr>
          <w:left w:val="single" w:sz="12" w:space="6" w:color="1B2A4A"/>
        </w:pBdr>
      </w:pPr>
      <w:r>
        <w:rPr>
          <w:b/>
          <w:color w:val="1B2A4A"/>
          <w:sz w:val="20"/>
        </w:rPr>
        <w:t xml:space="preserve">The one-line pitch:  </w:t>
      </w:r>
      <w:r>
        <w:rPr>
          <w:color w:val="555555"/>
          <w:sz w:val="21"/>
        </w:rPr>
        <w:t>A senior analyst briefing, automated. No staff time. No manual curation. Runs entirely on its own, every day, for about $12–15/month per digest.</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1B2A4A"/>
          </w:tcPr>
          <w:p>
            <w:pPr>
              <w:spacing w:before="40" w:after="40"/>
            </w:pPr>
            <w:r>
              <w:rPr>
                <w:b/>
                <w:color w:val="FFFFFF"/>
                <w:sz w:val="18"/>
              </w:rPr>
            </w:r>
          </w:p>
        </w:tc>
        <w:tc>
          <w:tcPr>
            <w:tcW w:type="dxa" w:w="3744"/>
            <w:shd w:val="clear" w:color="auto" w:fill="1B2A4A"/>
          </w:tcPr>
          <w:p>
            <w:pPr>
              <w:spacing w:before="40" w:after="40"/>
            </w:pPr>
            <w:r>
              <w:rPr>
                <w:b/>
                <w:color w:val="FFFFFF"/>
                <w:sz w:val="18"/>
              </w:rPr>
              <w:t>China Daily Brief</w:t>
            </w:r>
          </w:p>
        </w:tc>
        <w:tc>
          <w:tcPr>
            <w:tcW w:type="dxa" w:w="3744"/>
            <w:shd w:val="clear" w:color="auto" w:fill="1B2A4A"/>
          </w:tcPr>
          <w:p>
            <w:pPr>
              <w:spacing w:before="40" w:after="40"/>
            </w:pPr>
            <w:r>
              <w:rPr>
                <w:b/>
                <w:color w:val="FFFFFF"/>
                <w:sz w:val="18"/>
              </w:rPr>
              <w:t>Korea Daily Brief</w:t>
            </w:r>
          </w:p>
        </w:tc>
      </w:tr>
      <w:tr>
        <w:tc>
          <w:tcPr>
            <w:tcW w:type="dxa" w:w="2016"/>
          </w:tcPr>
          <w:p>
            <w:pPr>
              <w:spacing w:before="40" w:after="40"/>
            </w:pPr>
            <w:r>
              <w:rPr>
                <w:b w:val="0"/>
                <w:sz w:val="19"/>
              </w:rPr>
              <w:t>Sources</w:t>
            </w:r>
          </w:p>
        </w:tc>
        <w:tc>
          <w:tcPr>
            <w:tcW w:type="dxa" w:w="3744"/>
          </w:tcPr>
          <w:p>
            <w:pPr>
              <w:spacing w:before="40" w:after="40"/>
            </w:pPr>
            <w:r>
              <w:rPr>
                <w:b w:val="0"/>
                <w:sz w:val="19"/>
              </w:rPr>
              <w:t>130+</w:t>
            </w:r>
          </w:p>
        </w:tc>
        <w:tc>
          <w:tcPr>
            <w:tcW w:type="dxa" w:w="3744"/>
          </w:tcPr>
          <w:p>
            <w:pPr>
              <w:spacing w:before="40" w:after="40"/>
            </w:pPr>
            <w:r>
              <w:rPr>
                <w:b w:val="0"/>
                <w:sz w:val="19"/>
              </w:rPr>
              <w:t>138+</w:t>
            </w:r>
          </w:p>
        </w:tc>
      </w:tr>
      <w:tr>
        <w:tc>
          <w:tcPr>
            <w:tcW w:type="dxa" w:w="2016"/>
            <w:shd w:val="clear" w:color="auto" w:fill="F4F6F9"/>
          </w:tcPr>
          <w:p>
            <w:pPr>
              <w:spacing w:before="40" w:after="40"/>
            </w:pPr>
            <w:r>
              <w:rPr>
                <w:b w:val="0"/>
                <w:sz w:val="19"/>
              </w:rPr>
              <w:t>Tiers</w:t>
            </w:r>
          </w:p>
        </w:tc>
        <w:tc>
          <w:tcPr>
            <w:tcW w:type="dxa" w:w="3744"/>
            <w:shd w:val="clear" w:color="auto" w:fill="F4F6F9"/>
          </w:tcPr>
          <w:p>
            <w:pPr>
              <w:spacing w:before="40" w:after="40"/>
            </w:pPr>
            <w:r>
              <w:rPr>
                <w:b w:val="0"/>
                <w:sz w:val="19"/>
              </w:rPr>
              <w:t>4 (News / Analysis / Academic / PRC State Media)</w:t>
            </w:r>
          </w:p>
        </w:tc>
        <w:tc>
          <w:tcPr>
            <w:tcW w:type="dxa" w:w="3744"/>
            <w:shd w:val="clear" w:color="auto" w:fill="F4F6F9"/>
          </w:tcPr>
          <w:p>
            <w:pPr>
              <w:spacing w:before="40" w:after="40"/>
            </w:pPr>
            <w:r>
              <w:rPr>
                <w:b w:val="0"/>
                <w:sz w:val="19"/>
              </w:rPr>
              <w:t>4 (News / Analysis / Academic / KCNA)</w:t>
            </w:r>
          </w:p>
        </w:tc>
      </w:tr>
      <w:tr>
        <w:tc>
          <w:tcPr>
            <w:tcW w:type="dxa" w:w="2016"/>
          </w:tcPr>
          <w:p>
            <w:pPr>
              <w:spacing w:before="40" w:after="40"/>
            </w:pPr>
            <w:r>
              <w:rPr>
                <w:b w:val="0"/>
                <w:sz w:val="19"/>
              </w:rPr>
              <w:t>Languages</w:t>
            </w:r>
          </w:p>
        </w:tc>
        <w:tc>
          <w:tcPr>
            <w:tcW w:type="dxa" w:w="3744"/>
          </w:tcPr>
          <w:p>
            <w:pPr>
              <w:spacing w:before="40" w:after="40"/>
            </w:pPr>
            <w:r>
              <w:rPr>
                <w:b w:val="0"/>
                <w:sz w:val="19"/>
              </w:rPr>
              <w:t>English + Chinese (translated by Claude)</w:t>
            </w:r>
          </w:p>
        </w:tc>
        <w:tc>
          <w:tcPr>
            <w:tcW w:type="dxa" w:w="3744"/>
          </w:tcPr>
          <w:p>
            <w:pPr>
              <w:spacing w:before="40" w:after="40"/>
            </w:pPr>
            <w:r>
              <w:rPr>
                <w:b w:val="0"/>
                <w:sz w:val="19"/>
              </w:rPr>
              <w:t>English + Korean (translated by Claude)</w:t>
            </w:r>
          </w:p>
        </w:tc>
      </w:tr>
      <w:tr>
        <w:tc>
          <w:tcPr>
            <w:tcW w:type="dxa" w:w="2016"/>
            <w:shd w:val="clear" w:color="auto" w:fill="F4F6F9"/>
          </w:tcPr>
          <w:p>
            <w:pPr>
              <w:spacing w:before="40" w:after="40"/>
            </w:pPr>
            <w:r>
              <w:rPr>
                <w:b w:val="0"/>
                <w:sz w:val="19"/>
              </w:rPr>
              <w:t>Sections</w:t>
            </w:r>
          </w:p>
        </w:tc>
        <w:tc>
          <w:tcPr>
            <w:tcW w:type="dxa" w:w="3744"/>
            <w:shd w:val="clear" w:color="auto" w:fill="F4F6F9"/>
          </w:tcPr>
          <w:p>
            <w:pPr>
              <w:spacing w:before="40" w:after="40"/>
            </w:pPr>
            <w:r>
              <w:rPr>
                <w:b w:val="0"/>
                <w:sz w:val="19"/>
              </w:rPr>
              <w:t>14 active sections</w:t>
            </w:r>
          </w:p>
        </w:tc>
        <w:tc>
          <w:tcPr>
            <w:tcW w:type="dxa" w:w="3744"/>
            <w:shd w:val="clear" w:color="auto" w:fill="F4F6F9"/>
          </w:tcPr>
          <w:p>
            <w:pPr>
              <w:spacing w:before="40" w:after="40"/>
            </w:pPr>
            <w:r>
              <w:rPr>
                <w:b w:val="0"/>
                <w:sz w:val="19"/>
              </w:rPr>
              <w:t>9 sections + trackers</w:t>
            </w:r>
          </w:p>
        </w:tc>
      </w:tr>
      <w:tr>
        <w:tc>
          <w:tcPr>
            <w:tcW w:type="dxa" w:w="2016"/>
          </w:tcPr>
          <w:p>
            <w:pPr>
              <w:spacing w:before="40" w:after="40"/>
            </w:pPr>
            <w:r>
              <w:rPr>
                <w:b w:val="0"/>
                <w:sz w:val="19"/>
              </w:rPr>
              <w:t>Market data</w:t>
            </w:r>
          </w:p>
        </w:tc>
        <w:tc>
          <w:tcPr>
            <w:tcW w:type="dxa" w:w="3744"/>
          </w:tcPr>
          <w:p>
            <w:pPr>
              <w:spacing w:before="40" w:after="40"/>
            </w:pPr>
            <w:r>
              <w:rPr>
                <w:b w:val="0"/>
                <w:sz w:val="19"/>
              </w:rPr>
              <w:t>SSE, Hang Seng, USD/CNY, CGB, Brent, PBOC LPR</w:t>
            </w:r>
          </w:p>
        </w:tc>
        <w:tc>
          <w:tcPr>
            <w:tcW w:type="dxa" w:w="3744"/>
          </w:tcPr>
          <w:p>
            <w:pPr>
              <w:spacing w:before="40" w:after="40"/>
            </w:pPr>
            <w:r>
              <w:rPr>
                <w:b w:val="0"/>
                <w:sz w:val="19"/>
              </w:rPr>
              <w:t>KOSPI, KRW/USD, BOK rate, 10Y yield</w:t>
            </w:r>
          </w:p>
        </w:tc>
      </w:tr>
      <w:tr>
        <w:tc>
          <w:tcPr>
            <w:tcW w:type="dxa" w:w="2016"/>
            <w:shd w:val="clear" w:color="auto" w:fill="F4F6F9"/>
          </w:tcPr>
          <w:p>
            <w:pPr>
              <w:spacing w:before="40" w:after="40"/>
            </w:pPr>
            <w:r>
              <w:rPr>
                <w:b w:val="0"/>
                <w:sz w:val="19"/>
              </w:rPr>
              <w:t>Persistent trackers</w:t>
            </w:r>
          </w:p>
        </w:tc>
        <w:tc>
          <w:tcPr>
            <w:tcW w:type="dxa" w:w="3744"/>
            <w:shd w:val="clear" w:color="auto" w:fill="F4F6F9"/>
          </w:tcPr>
          <w:p>
            <w:pPr>
              <w:spacing w:before="40" w:after="40"/>
            </w:pPr>
            <w:r>
              <w:rPr>
                <w:b w:val="0"/>
                <w:sz w:val="19"/>
              </w:rPr>
              <w:t>Xi Jinping appearances</w:t>
            </w:r>
          </w:p>
        </w:tc>
        <w:tc>
          <w:tcPr>
            <w:tcW w:type="dxa" w:w="3744"/>
            <w:shd w:val="clear" w:color="auto" w:fill="F4F6F9"/>
          </w:tcPr>
          <w:p>
            <w:pPr>
              <w:spacing w:before="40" w:after="40"/>
            </w:pPr>
            <w:r>
              <w:rPr>
                <w:b w:val="0"/>
                <w:sz w:val="19"/>
              </w:rPr>
              <w:t>Kim Jong Un appearances + 11 facility statuses</w:t>
            </w:r>
          </w:p>
        </w:tc>
      </w:tr>
      <w:tr>
        <w:tc>
          <w:tcPr>
            <w:tcW w:type="dxa" w:w="2016"/>
          </w:tcPr>
          <w:p>
            <w:pPr>
              <w:spacing w:before="40" w:after="40"/>
            </w:pPr>
            <w:r>
              <w:rPr>
                <w:b w:val="0"/>
                <w:sz w:val="19"/>
              </w:rPr>
              <w:t>Delivery</w:t>
            </w:r>
          </w:p>
        </w:tc>
        <w:tc>
          <w:tcPr>
            <w:tcW w:type="dxa" w:w="3744"/>
          </w:tcPr>
          <w:p>
            <w:pPr>
              <w:spacing w:before="40" w:after="40"/>
            </w:pPr>
            <w:r>
              <w:rPr>
                <w:b w:val="0"/>
                <w:sz w:val="19"/>
              </w:rPr>
              <w:t>6:30 AM ET daily</w:t>
            </w:r>
          </w:p>
        </w:tc>
        <w:tc>
          <w:tcPr>
            <w:tcW w:type="dxa" w:w="3744"/>
          </w:tcPr>
          <w:p>
            <w:pPr>
              <w:spacing w:before="40" w:after="40"/>
            </w:pPr>
            <w:r>
              <w:rPr>
                <w:b w:val="0"/>
                <w:sz w:val="19"/>
              </w:rPr>
              <w:t>6:00 AM ET daily</w:t>
            </w:r>
          </w:p>
        </w:tc>
      </w:tr>
      <w:tr>
        <w:tc>
          <w:tcPr>
            <w:tcW w:type="dxa" w:w="2016"/>
            <w:shd w:val="clear" w:color="auto" w:fill="F4F6F9"/>
          </w:tcPr>
          <w:p>
            <w:pPr>
              <w:spacing w:before="40" w:after="40"/>
            </w:pPr>
            <w:r>
              <w:rPr>
                <w:b w:val="0"/>
                <w:sz w:val="19"/>
              </w:rPr>
              <w:t>Monthly API cost</w:t>
            </w:r>
          </w:p>
        </w:tc>
        <w:tc>
          <w:tcPr>
            <w:tcW w:type="dxa" w:w="3744"/>
            <w:shd w:val="clear" w:color="auto" w:fill="F4F6F9"/>
          </w:tcPr>
          <w:p>
            <w:pPr>
              <w:spacing w:before="40" w:after="40"/>
            </w:pPr>
            <w:r>
              <w:rPr>
                <w:b w:val="0"/>
                <w:sz w:val="19"/>
              </w:rPr>
              <w:t>~$5–8</w:t>
            </w:r>
          </w:p>
        </w:tc>
        <w:tc>
          <w:tcPr>
            <w:tcW w:type="dxa" w:w="3744"/>
            <w:shd w:val="clear" w:color="auto" w:fill="F4F6F9"/>
          </w:tcPr>
          <w:p>
            <w:pPr>
              <w:spacing w:before="40" w:after="40"/>
            </w:pPr>
            <w:r>
              <w:rPr>
                <w:b w:val="0"/>
                <w:sz w:val="19"/>
              </w:rPr>
              <w:t>~$5–8</w:t>
            </w:r>
          </w:p>
        </w:tc>
      </w:tr>
    </w:tbl>
    <w:p>
      <w:pPr>
        <w:spacing w:after="40"/>
      </w:pPr>
    </w:p>
    <w:p>
      <w:pPr>
        <w:spacing w:before="320" w:after="80"/>
        <w:pBdr>
          <w:bottom w:val="single" w:sz="6" w:space="1" w:color="1B2A4A"/>
        </w:pBdr>
      </w:pPr>
      <w:r>
        <w:rPr>
          <w:b/>
          <w:i w:val="0"/>
          <w:color w:val="1B2A4A"/>
          <w:sz w:val="34"/>
        </w:rPr>
        <w:t>2.  How It Works</w:t>
      </w:r>
    </w:p>
    <w:p>
      <w:pPr>
        <w:spacing w:before="0" w:after="120"/>
      </w:pPr>
      <w:r>
        <w:rPr>
          <w:b w:val="0"/>
          <w:i w:val="0"/>
          <w:color w:val="555555"/>
          <w:sz w:val="22"/>
        </w:rPr>
        <w:t>Every morning, GitHub's free servers wake up and run a 4-step pipeline in 3–5 minutes:</w:t>
      </w:r>
    </w:p>
    <w:p>
      <w:pPr>
        <w:pStyle w:val="ListBullet"/>
        <w:spacing w:before="20" w:after="60"/>
        <w:ind w:left="360"/>
      </w:pPr>
      <w:r>
        <w:rPr>
          <w:b/>
          <w:color w:val="1B2A4A"/>
          <w:sz w:val="21"/>
        </w:rPr>
        <w:t xml:space="preserve">Step 1 — Collect  </w:t>
      </w:r>
      <w:r>
        <w:rPr>
          <w:color w:val="555555"/>
          <w:sz w:val="21"/>
        </w:rPr>
        <w:t>Scans 130–138 RSS feeds simultaneously — wire services, think tanks, academic journals, state media, government sites, Korean/Chinese-language press</w:t>
      </w:r>
    </w:p>
    <w:p>
      <w:pPr>
        <w:pStyle w:val="ListBullet"/>
        <w:spacing w:before="20" w:after="60"/>
        <w:ind w:left="360"/>
      </w:pPr>
      <w:r>
        <w:rPr>
          <w:b/>
          <w:color w:val="1B2A4A"/>
          <w:sz w:val="21"/>
        </w:rPr>
        <w:t xml:space="preserve">Step 2 — Generate  </w:t>
      </w:r>
      <w:r>
        <w:rPr>
          <w:color w:val="555555"/>
          <w:sz w:val="21"/>
        </w:rPr>
        <w:t>Sends all articles to Claude (Anthropic's AI) with a ~20,000-token prompt. Claude reads, translates non-English sources, and writes the full structured digest as JSON</w:t>
      </w:r>
    </w:p>
    <w:p>
      <w:pPr>
        <w:pStyle w:val="ListBullet"/>
        <w:spacing w:before="20" w:after="60"/>
        <w:ind w:left="360"/>
      </w:pPr>
      <w:r>
        <w:rPr>
          <w:b/>
          <w:color w:val="1B2A4A"/>
          <w:sz w:val="21"/>
        </w:rPr>
        <w:t xml:space="preserve">Step 3 — Validate  </w:t>
      </w:r>
      <w:r>
        <w:rPr>
          <w:color w:val="555555"/>
          <w:sz w:val="21"/>
        </w:rPr>
        <w:t>A validation gate checks the output before anything sends: word count floor, section completeness, URL validity, duplicate detection, hallucination guards. Retries up to 2× if it fails</w:t>
      </w:r>
    </w:p>
    <w:p>
      <w:pPr>
        <w:pStyle w:val="ListBullet"/>
        <w:spacing w:before="20" w:after="60"/>
        <w:ind w:left="360"/>
      </w:pPr>
      <w:r>
        <w:rPr>
          <w:b/>
          <w:color w:val="1B2A4A"/>
          <w:sz w:val="21"/>
        </w:rPr>
        <w:t xml:space="preserve">Step 4 — Send  </w:t>
      </w:r>
      <w:r>
        <w:rPr>
          <w:color w:val="555555"/>
          <w:sz w:val="21"/>
        </w:rPr>
        <w:t>Converts the JSON to a styled HTML email and sends via Gmail. Archives the issue to GitHub Pages for a public record</w:t>
      </w:r>
    </w:p>
    <w:p>
      <w:pPr>
        <w:spacing w:before="0" w:after="80"/>
      </w:pPr>
      <w:r>
        <w:rPr>
          <w:b w:val="0"/>
          <w:i w:val="0"/>
          <w:sz w:val="22"/>
        </w:rPr>
      </w:r>
    </w:p>
    <w:p>
      <w:pPr>
        <w:spacing w:before="120" w:after="200"/>
        <w:ind w:left="288"/>
        <w:pBdr>
          <w:left w:val="single" w:sz="12" w:space="6" w:color="1B2A4A"/>
        </w:pBdr>
      </w:pPr>
      <w:r>
        <w:rPr>
          <w:b/>
          <w:color w:val="1B2A4A"/>
          <w:sz w:val="20"/>
        </w:rPr>
        <w:t xml:space="preserve">Fallback logic:  </w:t>
      </w:r>
      <w:r>
        <w:rPr>
          <w:color w:val="555555"/>
          <w:sz w:val="21"/>
        </w:rPr>
        <w:t>If the 6:30 AM run fails, a 7:30 AM backup fires automatically. If both fail, no email sends — silence is better than a bad product.</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B2A4A"/>
          </w:tcPr>
          <w:p>
            <w:pPr>
              <w:spacing w:before="40" w:after="40"/>
            </w:pPr>
            <w:r>
              <w:rPr>
                <w:b/>
                <w:color w:val="FFFFFF"/>
                <w:sz w:val="18"/>
              </w:rPr>
              <w:t>Tool</w:t>
            </w:r>
          </w:p>
        </w:tc>
        <w:tc>
          <w:tcPr>
            <w:tcW w:type="dxa" w:w="4608"/>
            <w:shd w:val="clear" w:color="auto" w:fill="1B2A4A"/>
          </w:tcPr>
          <w:p>
            <w:pPr>
              <w:spacing w:before="40" w:after="40"/>
            </w:pPr>
            <w:r>
              <w:rPr>
                <w:b/>
                <w:color w:val="FFFFFF"/>
                <w:sz w:val="18"/>
              </w:rPr>
              <w:t>Role</w:t>
            </w:r>
          </w:p>
        </w:tc>
        <w:tc>
          <w:tcPr>
            <w:tcW w:type="dxa" w:w="2160"/>
            <w:shd w:val="clear" w:color="auto" w:fill="1B2A4A"/>
          </w:tcPr>
          <w:p>
            <w:pPr>
              <w:spacing w:before="40" w:after="40"/>
            </w:pPr>
            <w:r>
              <w:rPr>
                <w:b/>
                <w:color w:val="FFFFFF"/>
                <w:sz w:val="18"/>
              </w:rPr>
              <w:t>Cost</w:t>
            </w:r>
          </w:p>
        </w:tc>
      </w:tr>
      <w:tr>
        <w:tc>
          <w:tcPr>
            <w:tcW w:type="dxa" w:w="2304"/>
          </w:tcPr>
          <w:p>
            <w:pPr>
              <w:spacing w:before="40" w:after="40"/>
            </w:pPr>
            <w:r>
              <w:rPr>
                <w:b w:val="0"/>
                <w:sz w:val="19"/>
              </w:rPr>
              <w:t>Python</w:t>
            </w:r>
          </w:p>
        </w:tc>
        <w:tc>
          <w:tcPr>
            <w:tcW w:type="dxa" w:w="4608"/>
          </w:tcPr>
          <w:p>
            <w:pPr>
              <w:spacing w:before="40" w:after="40"/>
            </w:pPr>
            <w:r>
              <w:rPr>
                <w:b w:val="0"/>
                <w:sz w:val="19"/>
              </w:rPr>
              <w:t>Pipeline code</w:t>
            </w:r>
          </w:p>
        </w:tc>
        <w:tc>
          <w:tcPr>
            <w:tcW w:type="dxa" w:w="2160"/>
          </w:tcPr>
          <w:p>
            <w:pPr>
              <w:spacing w:before="40" w:after="40"/>
            </w:pPr>
            <w:r>
              <w:rPr>
                <w:b w:val="0"/>
                <w:sz w:val="19"/>
              </w:rPr>
              <w:t>Free</w:t>
            </w:r>
          </w:p>
        </w:tc>
      </w:tr>
      <w:tr>
        <w:tc>
          <w:tcPr>
            <w:tcW w:type="dxa" w:w="2304"/>
            <w:shd w:val="clear" w:color="auto" w:fill="F4F6F9"/>
          </w:tcPr>
          <w:p>
            <w:pPr>
              <w:spacing w:before="40" w:after="40"/>
            </w:pPr>
            <w:r>
              <w:rPr>
                <w:b w:val="0"/>
                <w:sz w:val="19"/>
              </w:rPr>
              <w:t>GitHub Actions</w:t>
            </w:r>
          </w:p>
        </w:tc>
        <w:tc>
          <w:tcPr>
            <w:tcW w:type="dxa" w:w="4608"/>
            <w:shd w:val="clear" w:color="auto" w:fill="F4F6F9"/>
          </w:tcPr>
          <w:p>
            <w:pPr>
              <w:spacing w:before="40" w:after="40"/>
            </w:pPr>
            <w:r>
              <w:rPr>
                <w:b w:val="0"/>
                <w:sz w:val="19"/>
              </w:rPr>
              <w:t>Runs on a timer — no server needed</w:t>
            </w:r>
          </w:p>
        </w:tc>
        <w:tc>
          <w:tcPr>
            <w:tcW w:type="dxa" w:w="2160"/>
            <w:shd w:val="clear" w:color="auto" w:fill="F4F6F9"/>
          </w:tcPr>
          <w:p>
            <w:pPr>
              <w:spacing w:before="40" w:after="40"/>
            </w:pPr>
            <w:r>
              <w:rPr>
                <w:b w:val="0"/>
                <w:sz w:val="19"/>
              </w:rPr>
              <w:t>Free</w:t>
            </w:r>
          </w:p>
        </w:tc>
      </w:tr>
      <w:tr>
        <w:tc>
          <w:tcPr>
            <w:tcW w:type="dxa" w:w="2304"/>
          </w:tcPr>
          <w:p>
            <w:pPr>
              <w:spacing w:before="40" w:after="40"/>
            </w:pPr>
            <w:r>
              <w:rPr>
                <w:b w:val="0"/>
                <w:sz w:val="19"/>
              </w:rPr>
              <w:t>Claude API (Anthropic)</w:t>
            </w:r>
          </w:p>
        </w:tc>
        <w:tc>
          <w:tcPr>
            <w:tcW w:type="dxa" w:w="4608"/>
          </w:tcPr>
          <w:p>
            <w:pPr>
              <w:spacing w:before="40" w:after="40"/>
            </w:pPr>
            <w:r>
              <w:rPr>
                <w:b w:val="0"/>
                <w:sz w:val="19"/>
              </w:rPr>
              <w:t>Reads, translates, and writes the digest</w:t>
            </w:r>
          </w:p>
        </w:tc>
        <w:tc>
          <w:tcPr>
            <w:tcW w:type="dxa" w:w="2160"/>
          </w:tcPr>
          <w:p>
            <w:pPr>
              <w:spacing w:before="40" w:after="40"/>
            </w:pPr>
            <w:r>
              <w:rPr>
                <w:b w:val="0"/>
                <w:sz w:val="19"/>
              </w:rPr>
              <w:t>~$5–8/month per digest</w:t>
            </w:r>
          </w:p>
        </w:tc>
      </w:tr>
      <w:tr>
        <w:tc>
          <w:tcPr>
            <w:tcW w:type="dxa" w:w="2304"/>
            <w:shd w:val="clear" w:color="auto" w:fill="F4F6F9"/>
          </w:tcPr>
          <w:p>
            <w:pPr>
              <w:spacing w:before="40" w:after="40"/>
            </w:pPr>
            <w:r>
              <w:rPr>
                <w:b w:val="0"/>
                <w:sz w:val="19"/>
              </w:rPr>
              <w:t>Gmail SMTP</w:t>
            </w:r>
          </w:p>
        </w:tc>
        <w:tc>
          <w:tcPr>
            <w:tcW w:type="dxa" w:w="4608"/>
            <w:shd w:val="clear" w:color="auto" w:fill="F4F6F9"/>
          </w:tcPr>
          <w:p>
            <w:pPr>
              <w:spacing w:before="40" w:after="40"/>
            </w:pPr>
            <w:r>
              <w:rPr>
                <w:b w:val="0"/>
                <w:sz w:val="19"/>
              </w:rPr>
              <w:t>Sends the email</w:t>
            </w:r>
          </w:p>
        </w:tc>
        <w:tc>
          <w:tcPr>
            <w:tcW w:type="dxa" w:w="2160"/>
            <w:shd w:val="clear" w:color="auto" w:fill="F4F6F9"/>
          </w:tcPr>
          <w:p>
            <w:pPr>
              <w:spacing w:before="40" w:after="40"/>
            </w:pPr>
            <w:r>
              <w:rPr>
                <w:b w:val="0"/>
                <w:sz w:val="19"/>
              </w:rPr>
              <w:t>Free</w:t>
            </w:r>
          </w:p>
        </w:tc>
      </w:tr>
      <w:tr>
        <w:tc>
          <w:tcPr>
            <w:tcW w:type="dxa" w:w="2304"/>
          </w:tcPr>
          <w:p>
            <w:pPr>
              <w:spacing w:before="40" w:after="40"/>
            </w:pPr>
            <w:r>
              <w:rPr>
                <w:b w:val="0"/>
                <w:sz w:val="19"/>
              </w:rPr>
              <w:t>GitHub Pages</w:t>
            </w:r>
          </w:p>
        </w:tc>
        <w:tc>
          <w:tcPr>
            <w:tcW w:type="dxa" w:w="4608"/>
          </w:tcPr>
          <w:p>
            <w:pPr>
              <w:spacing w:before="40" w:after="40"/>
            </w:pPr>
            <w:r>
              <w:rPr>
                <w:b w:val="0"/>
                <w:sz w:val="19"/>
              </w:rPr>
              <w:t>Public archive of past issues</w:t>
            </w:r>
          </w:p>
        </w:tc>
        <w:tc>
          <w:tcPr>
            <w:tcW w:type="dxa" w:w="2160"/>
          </w:tcPr>
          <w:p>
            <w:pPr>
              <w:spacing w:before="40" w:after="40"/>
            </w:pPr>
            <w:r>
              <w:rPr>
                <w:b w:val="0"/>
                <w:sz w:val="19"/>
              </w:rPr>
              <w:t>Free</w:t>
            </w:r>
          </w:p>
        </w:tc>
      </w:tr>
      <w:tr>
        <w:tc>
          <w:tcPr>
            <w:tcW w:type="dxa" w:w="2304"/>
            <w:shd w:val="clear" w:color="auto" w:fill="F4F6F9"/>
          </w:tcPr>
          <w:p>
            <w:pPr>
              <w:spacing w:before="40" w:after="40"/>
            </w:pPr>
            <w:r>
              <w:rPr>
                <w:b w:val="0"/>
                <w:sz w:val="19"/>
              </w:rPr>
              <w:t>Claude Code</w:t>
            </w:r>
          </w:p>
        </w:tc>
        <w:tc>
          <w:tcPr>
            <w:tcW w:type="dxa" w:w="4608"/>
            <w:shd w:val="clear" w:color="auto" w:fill="F4F6F9"/>
          </w:tcPr>
          <w:p>
            <w:pPr>
              <w:spacing w:before="40" w:after="40"/>
            </w:pPr>
            <w:r>
              <w:rPr>
                <w:b w:val="0"/>
                <w:sz w:val="19"/>
              </w:rPr>
              <w:t>AI coding assistant used to build the pipeline</w:t>
            </w:r>
          </w:p>
        </w:tc>
        <w:tc>
          <w:tcPr>
            <w:tcW w:type="dxa" w:w="2160"/>
            <w:shd w:val="clear" w:color="auto" w:fill="F4F6F9"/>
          </w:tcPr>
          <w:p>
            <w:pPr>
              <w:spacing w:before="40" w:after="40"/>
            </w:pPr>
            <w:r>
              <w:rPr>
                <w:b w:val="0"/>
                <w:sz w:val="19"/>
              </w:rPr>
              <w:t>~$20/month (dev only)</w:t>
            </w:r>
          </w:p>
        </w:tc>
      </w:tr>
    </w:tbl>
    <w:p>
      <w:pPr>
        <w:spacing w:after="40"/>
      </w:pPr>
    </w:p>
    <w:p>
      <w:pPr>
        <w:spacing w:before="320" w:after="80"/>
        <w:pBdr>
          <w:bottom w:val="single" w:sz="6" w:space="1" w:color="1B2A4A"/>
        </w:pBdr>
      </w:pPr>
      <w:r>
        <w:rPr>
          <w:b/>
          <w:i w:val="0"/>
          <w:color w:val="1B2A4A"/>
          <w:sz w:val="34"/>
        </w:rPr>
        <w:t>3.  What Each Issue Covers</w:t>
      </w:r>
    </w:p>
    <w:p>
      <w:pPr>
        <w:spacing w:before="0" w:after="80"/>
      </w:pPr>
      <w:r>
        <w:rPr>
          <w:b/>
          <w:i w:val="0"/>
          <w:color w:val="1B2A4A"/>
          <w:sz w:val="24"/>
        </w:rPr>
        <w:t>China Daily Brief</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B2A4A"/>
          </w:tcPr>
          <w:p>
            <w:pPr>
              <w:spacing w:before="40" w:after="40"/>
            </w:pPr>
            <w:r>
              <w:rPr>
                <w:b/>
                <w:color w:val="FFFFFF"/>
                <w:sz w:val="18"/>
              </w:rPr>
              <w:t>Section</w:t>
            </w:r>
          </w:p>
        </w:tc>
        <w:tc>
          <w:tcPr>
            <w:tcW w:type="dxa" w:w="6048"/>
            <w:shd w:val="clear" w:color="auto" w:fill="1B2A4A"/>
          </w:tcPr>
          <w:p>
            <w:pPr>
              <w:spacing w:before="40" w:after="40"/>
            </w:pPr>
            <w:r>
              <w:rPr>
                <w:b/>
                <w:color w:val="FFFFFF"/>
                <w:sz w:val="18"/>
              </w:rPr>
              <w:t>Content</w:t>
            </w:r>
          </w:p>
        </w:tc>
      </w:tr>
      <w:tr>
        <w:tc>
          <w:tcPr>
            <w:tcW w:type="dxa" w:w="2880"/>
          </w:tcPr>
          <w:p>
            <w:pPr>
              <w:spacing w:before="40" w:after="40"/>
            </w:pPr>
            <w:r>
              <w:rPr>
                <w:b w:val="0"/>
                <w:sz w:val="19"/>
              </w:rPr>
              <w:t>Market Strip</w:t>
            </w:r>
          </w:p>
        </w:tc>
        <w:tc>
          <w:tcPr>
            <w:tcW w:type="dxa" w:w="6048"/>
          </w:tcPr>
          <w:p>
            <w:pPr>
              <w:spacing w:before="40" w:after="40"/>
            </w:pPr>
            <w:r>
              <w:rPr>
                <w:b w:val="0"/>
                <w:sz w:val="19"/>
              </w:rPr>
              <w:t>SSE Composite, Hang Seng, USD/CNY, Brent, 10Y CGB, PBOC rates — with daily moves</w:t>
            </w:r>
          </w:p>
        </w:tc>
      </w:tr>
      <w:tr>
        <w:tc>
          <w:tcPr>
            <w:tcW w:type="dxa" w:w="2880"/>
            <w:shd w:val="clear" w:color="auto" w:fill="F4F6F9"/>
          </w:tcPr>
          <w:p>
            <w:pPr>
              <w:spacing w:before="40" w:after="40"/>
            </w:pPr>
            <w:r>
              <w:rPr>
                <w:b w:val="0"/>
                <w:sz w:val="19"/>
              </w:rPr>
              <w:t>Δ Since Yesterday</w:t>
            </w:r>
          </w:p>
        </w:tc>
        <w:tc>
          <w:tcPr>
            <w:tcW w:type="dxa" w:w="6048"/>
            <w:shd w:val="clear" w:color="auto" w:fill="F4F6F9"/>
          </w:tcPr>
          <w:p>
            <w:pPr>
              <w:spacing w:before="40" w:after="40"/>
            </w:pPr>
            <w:r>
              <w:rPr>
                <w:b w:val="0"/>
                <w:sz w:val="19"/>
              </w:rPr>
              <w:t>What changed overnight: tariff actions, PLA flights, coast guard presence</w:t>
            </w:r>
          </w:p>
        </w:tc>
      </w:tr>
      <w:tr>
        <w:tc>
          <w:tcPr>
            <w:tcW w:type="dxa" w:w="2880"/>
          </w:tcPr>
          <w:p>
            <w:pPr>
              <w:spacing w:before="40" w:after="40"/>
            </w:pPr>
            <w:r>
              <w:rPr>
                <w:b w:val="0"/>
                <w:sz w:val="19"/>
              </w:rPr>
              <w:t>Morning Memo</w:t>
            </w:r>
          </w:p>
        </w:tc>
        <w:tc>
          <w:tcPr>
            <w:tcW w:type="dxa" w:w="6048"/>
          </w:tcPr>
          <w:p>
            <w:pPr>
              <w:spacing w:before="40" w:after="40"/>
            </w:pPr>
            <w:r>
              <w:rPr>
                <w:b w:val="0"/>
                <w:sz w:val="19"/>
              </w:rPr>
              <w:t>Top 3 stories in 2 sentences — the elevator brief</w:t>
            </w:r>
          </w:p>
        </w:tc>
      </w:tr>
      <w:tr>
        <w:tc>
          <w:tcPr>
            <w:tcW w:type="dxa" w:w="2880"/>
            <w:shd w:val="clear" w:color="auto" w:fill="F4F6F9"/>
          </w:tcPr>
          <w:p>
            <w:pPr>
              <w:spacing w:before="40" w:after="40"/>
            </w:pPr>
            <w:r>
              <w:rPr>
                <w:b w:val="0"/>
                <w:sz w:val="19"/>
              </w:rPr>
              <w:t>Top Stories</w:t>
            </w:r>
          </w:p>
        </w:tc>
        <w:tc>
          <w:tcPr>
            <w:tcW w:type="dxa" w:w="6048"/>
            <w:shd w:val="clear" w:color="auto" w:fill="F4F6F9"/>
          </w:tcPr>
          <w:p>
            <w:pPr>
              <w:spacing w:before="40" w:after="40"/>
            </w:pPr>
            <w:r>
              <w:rPr>
                <w:b w:val="0"/>
                <w:sz w:val="19"/>
              </w:rPr>
              <w:t>2–4 major items with 'So what' analysis and pattern note</w:t>
            </w:r>
          </w:p>
        </w:tc>
      </w:tr>
      <w:tr>
        <w:tc>
          <w:tcPr>
            <w:tcW w:type="dxa" w:w="2880"/>
          </w:tcPr>
          <w:p>
            <w:pPr>
              <w:spacing w:before="40" w:after="40"/>
            </w:pPr>
            <w:r>
              <w:rPr>
                <w:b w:val="0"/>
                <w:sz w:val="19"/>
              </w:rPr>
              <w:t>Overnight Flash</w:t>
            </w:r>
          </w:p>
        </w:tc>
        <w:tc>
          <w:tcPr>
            <w:tcW w:type="dxa" w:w="6048"/>
          </w:tcPr>
          <w:p>
            <w:pPr>
              <w:spacing w:before="40" w:after="40"/>
            </w:pPr>
            <w:r>
              <w:rPr>
                <w:b w:val="0"/>
                <w:sz w:val="19"/>
              </w:rPr>
              <w:t>6 secondary overnight items</w:t>
            </w:r>
          </w:p>
        </w:tc>
      </w:tr>
      <w:tr>
        <w:tc>
          <w:tcPr>
            <w:tcW w:type="dxa" w:w="2880"/>
            <w:shd w:val="clear" w:color="auto" w:fill="F4F6F9"/>
          </w:tcPr>
          <w:p>
            <w:pPr>
              <w:spacing w:before="40" w:after="40"/>
            </w:pPr>
            <w:r>
              <w:rPr>
                <w:b w:val="0"/>
                <w:sz w:val="19"/>
              </w:rPr>
              <w:t>Expert Analysts</w:t>
            </w:r>
          </w:p>
        </w:tc>
        <w:tc>
          <w:tcPr>
            <w:tcW w:type="dxa" w:w="6048"/>
            <w:shd w:val="clear" w:color="auto" w:fill="F4F6F9"/>
          </w:tcPr>
          <w:p>
            <w:pPr>
              <w:spacing w:before="40" w:after="40"/>
            </w:pPr>
            <w:r>
              <w:rPr>
                <w:b w:val="0"/>
                <w:sz w:val="19"/>
              </w:rPr>
              <w:t>What CSIS, CFR, Brookings, Sinocism, Foreign Affairs published today — linked</w:t>
            </w:r>
          </w:p>
        </w:tc>
      </w:tr>
      <w:tr>
        <w:tc>
          <w:tcPr>
            <w:tcW w:type="dxa" w:w="2880"/>
          </w:tcPr>
          <w:p>
            <w:pPr>
              <w:spacing w:before="40" w:after="40"/>
            </w:pPr>
            <w:r>
              <w:rPr>
                <w:b w:val="0"/>
                <w:sz w:val="19"/>
              </w:rPr>
              <w:t>Satellite &amp; Location Watch</w:t>
            </w:r>
          </w:p>
        </w:tc>
        <w:tc>
          <w:tcPr>
            <w:tcW w:type="dxa" w:w="6048"/>
          </w:tcPr>
          <w:p>
            <w:pPr>
              <w:spacing w:before="40" w:after="40"/>
            </w:pPr>
            <w:r>
              <w:rPr>
                <w:b w:val="0"/>
                <w:sz w:val="19"/>
              </w:rPr>
              <w:t>AMTI gray-zone activity flags + Hidden Reach overseas footprint</w:t>
            </w:r>
          </w:p>
        </w:tc>
      </w:tr>
      <w:tr>
        <w:tc>
          <w:tcPr>
            <w:tcW w:type="dxa" w:w="2880"/>
            <w:shd w:val="clear" w:color="auto" w:fill="F4F6F9"/>
          </w:tcPr>
          <w:p>
            <w:pPr>
              <w:spacing w:before="40" w:after="40"/>
            </w:pPr>
            <w:r>
              <w:rPr>
                <w:b w:val="0"/>
                <w:sz w:val="19"/>
              </w:rPr>
              <w:t>PRC Government</w:t>
            </w:r>
          </w:p>
        </w:tc>
        <w:tc>
          <w:tcPr>
            <w:tcW w:type="dxa" w:w="6048"/>
            <w:shd w:val="clear" w:color="auto" w:fill="F4F6F9"/>
          </w:tcPr>
          <w:p>
            <w:pPr>
              <w:spacing w:before="40" w:after="40"/>
            </w:pPr>
            <w:r>
              <w:rPr>
                <w:b w:val="0"/>
                <w:sz w:val="19"/>
              </w:rPr>
              <w:t>State Council, MOFA, MOFCOM, personnel changes</w:t>
            </w:r>
          </w:p>
        </w:tc>
      </w:tr>
      <w:tr>
        <w:tc>
          <w:tcPr>
            <w:tcW w:type="dxa" w:w="2880"/>
          </w:tcPr>
          <w:p>
            <w:pPr>
              <w:spacing w:before="40" w:after="40"/>
            </w:pPr>
            <w:r>
              <w:rPr>
                <w:b w:val="0"/>
                <w:sz w:val="19"/>
              </w:rPr>
              <w:t>US–China Trade &amp; Sanctions</w:t>
            </w:r>
          </w:p>
        </w:tc>
        <w:tc>
          <w:tcPr>
            <w:tcW w:type="dxa" w:w="6048"/>
          </w:tcPr>
          <w:p>
            <w:pPr>
              <w:spacing w:before="40" w:after="40"/>
            </w:pPr>
            <w:r>
              <w:rPr>
                <w:b w:val="0"/>
                <w:sz w:val="19"/>
              </w:rPr>
              <w:t>Section 301/232/IEEPA tariff stack, Entity List adds, CFIUS</w:t>
            </w:r>
          </w:p>
        </w:tc>
      </w:tr>
      <w:tr>
        <w:tc>
          <w:tcPr>
            <w:tcW w:type="dxa" w:w="2880"/>
            <w:shd w:val="clear" w:color="auto" w:fill="F4F6F9"/>
          </w:tcPr>
          <w:p>
            <w:pPr>
              <w:spacing w:before="40" w:after="40"/>
            </w:pPr>
            <w:r>
              <w:rPr>
                <w:b w:val="0"/>
                <w:sz w:val="19"/>
              </w:rPr>
              <w:t>Congressional Watch</w:t>
            </w:r>
          </w:p>
        </w:tc>
        <w:tc>
          <w:tcPr>
            <w:tcW w:type="dxa" w:w="6048"/>
            <w:shd w:val="clear" w:color="auto" w:fill="F4F6F9"/>
          </w:tcPr>
          <w:p>
            <w:pPr>
              <w:spacing w:before="40" w:after="40"/>
            </w:pPr>
            <w:r>
              <w:rPr>
                <w:b w:val="0"/>
                <w:sz w:val="19"/>
              </w:rPr>
              <w:t>Select Committee on CCP, SFRC, USCC, CECC</w:t>
            </w:r>
          </w:p>
        </w:tc>
      </w:tr>
      <w:tr>
        <w:tc>
          <w:tcPr>
            <w:tcW w:type="dxa" w:w="2880"/>
          </w:tcPr>
          <w:p>
            <w:pPr>
              <w:spacing w:before="40" w:after="40"/>
            </w:pPr>
            <w:r>
              <w:rPr>
                <w:b w:val="0"/>
                <w:sz w:val="19"/>
              </w:rPr>
              <w:t>Business &amp; Economy</w:t>
            </w:r>
          </w:p>
        </w:tc>
        <w:tc>
          <w:tcPr>
            <w:tcW w:type="dxa" w:w="6048"/>
          </w:tcPr>
          <w:p>
            <w:pPr>
              <w:spacing w:before="40" w:after="40"/>
            </w:pPr>
            <w:r>
              <w:rPr>
                <w:b w:val="0"/>
                <w:sz w:val="19"/>
              </w:rPr>
              <w:t>Major corporates, macro, property, tech</w:t>
            </w:r>
          </w:p>
        </w:tc>
      </w:tr>
      <w:tr>
        <w:tc>
          <w:tcPr>
            <w:tcW w:type="dxa" w:w="2880"/>
            <w:shd w:val="clear" w:color="auto" w:fill="F4F6F9"/>
          </w:tcPr>
          <w:p>
            <w:pPr>
              <w:spacing w:before="40" w:after="40"/>
            </w:pPr>
            <w:r>
              <w:rPr>
                <w:b w:val="0"/>
                <w:sz w:val="19"/>
              </w:rPr>
              <w:t>Indo-Pacific</w:t>
            </w:r>
          </w:p>
        </w:tc>
        <w:tc>
          <w:tcPr>
            <w:tcW w:type="dxa" w:w="6048"/>
            <w:shd w:val="clear" w:color="auto" w:fill="F4F6F9"/>
          </w:tcPr>
          <w:p>
            <w:pPr>
              <w:spacing w:before="40" w:after="40"/>
            </w:pPr>
            <w:r>
              <w:rPr>
                <w:b w:val="0"/>
                <w:sz w:val="19"/>
              </w:rPr>
              <w:t>Cross-Strait, Japan, Philippines, Australia, India, Vietnam</w:t>
            </w:r>
          </w:p>
        </w:tc>
      </w:tr>
      <w:tr>
        <w:tc>
          <w:tcPr>
            <w:tcW w:type="dxa" w:w="2880"/>
          </w:tcPr>
          <w:p>
            <w:pPr>
              <w:spacing w:before="40" w:after="40"/>
            </w:pPr>
            <w:r>
              <w:rPr>
                <w:b w:val="0"/>
                <w:sz w:val="19"/>
              </w:rPr>
              <w:t>Also Today / The Wire</w:t>
            </w:r>
          </w:p>
        </w:tc>
        <w:tc>
          <w:tcPr>
            <w:tcW w:type="dxa" w:w="6048"/>
          </w:tcPr>
          <w:p>
            <w:pPr>
              <w:spacing w:before="40" w:after="40"/>
            </w:pPr>
            <w:r>
              <w:rPr>
                <w:b w:val="0"/>
                <w:sz w:val="19"/>
              </w:rPr>
              <w:t>Everything else worth flagging</w:t>
            </w:r>
          </w:p>
        </w:tc>
      </w:tr>
      <w:tr>
        <w:tc>
          <w:tcPr>
            <w:tcW w:type="dxa" w:w="2880"/>
            <w:shd w:val="clear" w:color="auto" w:fill="F4F6F9"/>
          </w:tcPr>
          <w:p>
            <w:pPr>
              <w:spacing w:before="40" w:after="40"/>
            </w:pPr>
            <w:r>
              <w:rPr>
                <w:b w:val="0"/>
                <w:sz w:val="19"/>
              </w:rPr>
              <w:t>On This Day</w:t>
            </w:r>
          </w:p>
        </w:tc>
        <w:tc>
          <w:tcPr>
            <w:tcW w:type="dxa" w:w="6048"/>
            <w:shd w:val="clear" w:color="auto" w:fill="F4F6F9"/>
          </w:tcPr>
          <w:p>
            <w:pPr>
              <w:spacing w:before="40" w:after="40"/>
            </w:pPr>
            <w:r>
              <w:rPr>
                <w:b w:val="0"/>
                <w:sz w:val="19"/>
              </w:rPr>
              <w:t>A verified historical China event matching today's date</w:t>
            </w:r>
          </w:p>
        </w:tc>
      </w:tr>
    </w:tbl>
    <w:p>
      <w:pPr>
        <w:spacing w:after="40"/>
      </w:pPr>
    </w:p>
    <w:p>
      <w:pPr>
        <w:spacing w:before="160" w:after="80"/>
      </w:pPr>
      <w:r>
        <w:rPr>
          <w:b/>
          <w:i w:val="0"/>
          <w:color w:val="1B2A4A"/>
          <w:sz w:val="24"/>
        </w:rPr>
        <w:t>Korea Daily Brief</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B2A4A"/>
          </w:tcPr>
          <w:p>
            <w:pPr>
              <w:spacing w:before="40" w:after="40"/>
            </w:pPr>
            <w:r>
              <w:rPr>
                <w:b/>
                <w:color w:val="FFFFFF"/>
                <w:sz w:val="18"/>
              </w:rPr>
              <w:t>Section</w:t>
            </w:r>
          </w:p>
        </w:tc>
        <w:tc>
          <w:tcPr>
            <w:tcW w:type="dxa" w:w="6048"/>
            <w:shd w:val="clear" w:color="auto" w:fill="1B2A4A"/>
          </w:tcPr>
          <w:p>
            <w:pPr>
              <w:spacing w:before="40" w:after="40"/>
            </w:pPr>
            <w:r>
              <w:rPr>
                <w:b/>
                <w:color w:val="FFFFFF"/>
                <w:sz w:val="18"/>
              </w:rPr>
              <w:t>Content</w:t>
            </w:r>
          </w:p>
        </w:tc>
      </w:tr>
      <w:tr>
        <w:tc>
          <w:tcPr>
            <w:tcW w:type="dxa" w:w="2880"/>
          </w:tcPr>
          <w:p>
            <w:pPr>
              <w:spacing w:before="40" w:after="40"/>
            </w:pPr>
            <w:r>
              <w:rPr>
                <w:b w:val="0"/>
                <w:sz w:val="19"/>
              </w:rPr>
              <w:t>Market Strip</w:t>
            </w:r>
          </w:p>
        </w:tc>
        <w:tc>
          <w:tcPr>
            <w:tcW w:type="dxa" w:w="6048"/>
          </w:tcPr>
          <w:p>
            <w:pPr>
              <w:spacing w:before="40" w:after="40"/>
            </w:pPr>
            <w:r>
              <w:rPr>
                <w:b w:val="0"/>
                <w:sz w:val="19"/>
              </w:rPr>
              <w:t>KOSPI, KRW/USD, BOK rate, 10Y yield — with daily moves</w:t>
            </w:r>
          </w:p>
        </w:tc>
      </w:tr>
      <w:tr>
        <w:tc>
          <w:tcPr>
            <w:tcW w:type="dxa" w:w="2880"/>
            <w:shd w:val="clear" w:color="auto" w:fill="F4F6F9"/>
          </w:tcPr>
          <w:p>
            <w:pPr>
              <w:spacing w:before="40" w:after="40"/>
            </w:pPr>
            <w:r>
              <w:rPr>
                <w:b w:val="0"/>
                <w:sz w:val="19"/>
              </w:rPr>
              <w:t>Morning Memo</w:t>
            </w:r>
          </w:p>
        </w:tc>
        <w:tc>
          <w:tcPr>
            <w:tcW w:type="dxa" w:w="6048"/>
            <w:shd w:val="clear" w:color="auto" w:fill="F4F6F9"/>
          </w:tcPr>
          <w:p>
            <w:pPr>
              <w:spacing w:before="40" w:after="40"/>
            </w:pPr>
            <w:r>
              <w:rPr>
                <w:b w:val="0"/>
                <w:sz w:val="19"/>
              </w:rPr>
              <w:t>Top 3 overnight items at a glance</w:t>
            </w:r>
          </w:p>
        </w:tc>
      </w:tr>
      <w:tr>
        <w:tc>
          <w:tcPr>
            <w:tcW w:type="dxa" w:w="2880"/>
          </w:tcPr>
          <w:p>
            <w:pPr>
              <w:spacing w:before="40" w:after="40"/>
            </w:pPr>
            <w:r>
              <w:rPr>
                <w:b w:val="0"/>
                <w:sz w:val="19"/>
              </w:rPr>
              <w:t>Top Stories</w:t>
            </w:r>
          </w:p>
        </w:tc>
        <w:tc>
          <w:tcPr>
            <w:tcW w:type="dxa" w:w="6048"/>
          </w:tcPr>
          <w:p>
            <w:pPr>
              <w:spacing w:before="40" w:after="40"/>
            </w:pPr>
            <w:r>
              <w:rPr>
                <w:b w:val="0"/>
                <w:sz w:val="19"/>
              </w:rPr>
              <w:t>2–4 major items with 'So what' analysis</w:t>
            </w:r>
          </w:p>
        </w:tc>
      </w:tr>
      <w:tr>
        <w:tc>
          <w:tcPr>
            <w:tcW w:type="dxa" w:w="2880"/>
            <w:shd w:val="clear" w:color="auto" w:fill="F4F6F9"/>
          </w:tcPr>
          <w:p>
            <w:pPr>
              <w:spacing w:before="40" w:after="40"/>
            </w:pPr>
            <w:r>
              <w:rPr>
                <w:b w:val="0"/>
                <w:sz w:val="19"/>
              </w:rPr>
              <w:t>KCNA Delta</w:t>
            </w:r>
          </w:p>
        </w:tc>
        <w:tc>
          <w:tcPr>
            <w:tcW w:type="dxa" w:w="6048"/>
            <w:shd w:val="clear" w:color="auto" w:fill="F4F6F9"/>
          </w:tcPr>
          <w:p>
            <w:pPr>
              <w:spacing w:before="40" w:after="40"/>
            </w:pPr>
            <w:r>
              <w:rPr>
                <w:b w:val="0"/>
                <w:sz w:val="19"/>
              </w:rPr>
              <w:t>North Korean state media output — watch flags, silence signals, key statements</w:t>
            </w:r>
          </w:p>
        </w:tc>
      </w:tr>
      <w:tr>
        <w:tc>
          <w:tcPr>
            <w:tcW w:type="dxa" w:w="2880"/>
          </w:tcPr>
          <w:p>
            <w:pPr>
              <w:spacing w:before="40" w:after="40"/>
            </w:pPr>
            <w:r>
              <w:rPr>
                <w:b w:val="0"/>
                <w:sz w:val="19"/>
              </w:rPr>
              <w:t>Kim Jong Un Tracker</w:t>
            </w:r>
          </w:p>
        </w:tc>
        <w:tc>
          <w:tcPr>
            <w:tcW w:type="dxa" w:w="6048"/>
          </w:tcPr>
          <w:p>
            <w:pPr>
              <w:spacing w:before="40" w:after="40"/>
            </w:pPr>
            <w:r>
              <w:rPr>
                <w:b w:val="0"/>
                <w:sz w:val="19"/>
              </w:rPr>
              <w:t>Appearance status with 7-day anomaly flag if absent</w:t>
            </w:r>
          </w:p>
        </w:tc>
      </w:tr>
      <w:tr>
        <w:tc>
          <w:tcPr>
            <w:tcW w:type="dxa" w:w="2880"/>
            <w:shd w:val="clear" w:color="auto" w:fill="F4F6F9"/>
          </w:tcPr>
          <w:p>
            <w:pPr>
              <w:spacing w:before="40" w:after="40"/>
            </w:pPr>
            <w:r>
              <w:rPr>
                <w:b w:val="0"/>
                <w:sz w:val="19"/>
              </w:rPr>
              <w:t>Facility Watch</w:t>
            </w:r>
          </w:p>
        </w:tc>
        <w:tc>
          <w:tcPr>
            <w:tcW w:type="dxa" w:w="6048"/>
            <w:shd w:val="clear" w:color="auto" w:fill="F4F6F9"/>
          </w:tcPr>
          <w:p>
            <w:pPr>
              <w:spacing w:before="40" w:after="40"/>
            </w:pPr>
            <w:r>
              <w:rPr>
                <w:b w:val="0"/>
                <w:sz w:val="19"/>
              </w:rPr>
              <w:t>11 monitored sites: Yongbyon, Punggye-ri, Sohae, Sinpo, border crossings</w:t>
            </w:r>
          </w:p>
        </w:tc>
      </w:tr>
      <w:tr>
        <w:tc>
          <w:tcPr>
            <w:tcW w:type="dxa" w:w="2880"/>
          </w:tcPr>
          <w:p>
            <w:pPr>
              <w:spacing w:before="40" w:after="40"/>
            </w:pPr>
            <w:r>
              <w:rPr>
                <w:b w:val="0"/>
                <w:sz w:val="19"/>
              </w:rPr>
              <w:t>Expert Analysts</w:t>
            </w:r>
          </w:p>
        </w:tc>
        <w:tc>
          <w:tcPr>
            <w:tcW w:type="dxa" w:w="6048"/>
          </w:tcPr>
          <w:p>
            <w:pPr>
              <w:spacing w:before="40" w:after="40"/>
            </w:pPr>
            <w:r>
              <w:rPr>
                <w:b w:val="0"/>
                <w:sz w:val="19"/>
              </w:rPr>
              <w:t>38 North, CSIS, Carnegie, Stimson, War on the Rocks — linked articles</w:t>
            </w:r>
          </w:p>
        </w:tc>
      </w:tr>
      <w:tr>
        <w:tc>
          <w:tcPr>
            <w:tcW w:type="dxa" w:w="2880"/>
            <w:shd w:val="clear" w:color="auto" w:fill="F4F6F9"/>
          </w:tcPr>
          <w:p>
            <w:pPr>
              <w:spacing w:before="40" w:after="40"/>
            </w:pPr>
            <w:r>
              <w:rPr>
                <w:b w:val="0"/>
                <w:sz w:val="19"/>
              </w:rPr>
              <w:t>US-ROK-Japan Tracker</w:t>
            </w:r>
          </w:p>
        </w:tc>
        <w:tc>
          <w:tcPr>
            <w:tcW w:type="dxa" w:w="6048"/>
            <w:shd w:val="clear" w:color="auto" w:fill="F4F6F9"/>
          </w:tcPr>
          <w:p>
            <w:pPr>
              <w:spacing w:before="40" w:after="40"/>
            </w:pPr>
            <w:r>
              <w:rPr>
                <w:b w:val="0"/>
                <w:sz w:val="19"/>
              </w:rPr>
              <w:t>Alliance developments, USFK, trilateral coordination</w:t>
            </w:r>
          </w:p>
        </w:tc>
      </w:tr>
      <w:tr>
        <w:tc>
          <w:tcPr>
            <w:tcW w:type="dxa" w:w="2880"/>
          </w:tcPr>
          <w:p>
            <w:pPr>
              <w:spacing w:before="40" w:after="40"/>
            </w:pPr>
            <w:r>
              <w:rPr>
                <w:b w:val="0"/>
                <w:sz w:val="19"/>
              </w:rPr>
              <w:t>The Wire</w:t>
            </w:r>
          </w:p>
        </w:tc>
        <w:tc>
          <w:tcPr>
            <w:tcW w:type="dxa" w:w="6048"/>
          </w:tcPr>
          <w:p>
            <w:pPr>
              <w:spacing w:before="40" w:after="40"/>
            </w:pPr>
            <w:r>
              <w:rPr>
                <w:b w:val="0"/>
                <w:sz w:val="19"/>
              </w:rPr>
              <w:t>Secondary items and also-today summaries</w:t>
            </w:r>
          </w:p>
        </w:tc>
      </w:tr>
    </w:tbl>
    <w:p>
      <w:pPr>
        <w:spacing w:after="40"/>
      </w:pPr>
    </w:p>
    <w:p>
      <w:pPr>
        <w:spacing w:before="320" w:after="80"/>
        <w:pBdr>
          <w:bottom w:val="single" w:sz="6" w:space="1" w:color="1B2A4A"/>
        </w:pBdr>
      </w:pPr>
      <w:r>
        <w:rPr>
          <w:b/>
          <w:i w:val="0"/>
          <w:color w:val="1B2A4A"/>
          <w:sz w:val="34"/>
        </w:rPr>
        <w:t>4.  Costs</w:t>
      </w:r>
    </w:p>
    <w:p>
      <w:pPr>
        <w:spacing w:before="0" w:after="160"/>
      </w:pPr>
      <w:r>
        <w:rPr>
          <w:b w:val="0"/>
          <w:i w:val="0"/>
          <w:color w:val="555555"/>
          <w:sz w:val="22"/>
        </w:rPr>
        <w:t>The only paid dependency is the Anthropic API. Everything else — GitHub, Gmail, the archive — is free.</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B2A4A"/>
          </w:tcPr>
          <w:p>
            <w:pPr>
              <w:spacing w:before="40" w:after="40"/>
            </w:pPr>
            <w:r>
              <w:rPr>
                <w:b/>
                <w:color w:val="FFFFFF"/>
                <w:sz w:val="18"/>
              </w:rPr>
              <w:t>Item</w:t>
            </w:r>
          </w:p>
        </w:tc>
        <w:tc>
          <w:tcPr>
            <w:tcW w:type="dxa" w:w="2160"/>
            <w:shd w:val="clear" w:color="auto" w:fill="1B2A4A"/>
          </w:tcPr>
          <w:p>
            <w:pPr>
              <w:spacing w:before="40" w:after="40"/>
            </w:pPr>
            <w:r>
              <w:rPr>
                <w:b/>
                <w:color w:val="FFFFFF"/>
                <w:sz w:val="18"/>
              </w:rPr>
              <w:t>Per Run</w:t>
            </w:r>
          </w:p>
        </w:tc>
        <w:tc>
          <w:tcPr>
            <w:tcW w:type="dxa" w:w="3888"/>
            <w:shd w:val="clear" w:color="auto" w:fill="1B2A4A"/>
          </w:tcPr>
          <w:p>
            <w:pPr>
              <w:spacing w:before="40" w:after="40"/>
            </w:pPr>
            <w:r>
              <w:rPr>
                <w:b/>
                <w:color w:val="FFFFFF"/>
                <w:sz w:val="18"/>
              </w:rPr>
              <w:t>Per Month</w:t>
            </w:r>
          </w:p>
        </w:tc>
      </w:tr>
      <w:tr>
        <w:tc>
          <w:tcPr>
            <w:tcW w:type="dxa" w:w="3600"/>
          </w:tcPr>
          <w:p>
            <w:pPr>
              <w:spacing w:before="40" w:after="40"/>
            </w:pPr>
            <w:r>
              <w:rPr>
                <w:b w:val="0"/>
                <w:sz w:val="19"/>
              </w:rPr>
              <w:t>Claude Sonnet (normal day)</w:t>
            </w:r>
          </w:p>
        </w:tc>
        <w:tc>
          <w:tcPr>
            <w:tcW w:type="dxa" w:w="2160"/>
          </w:tcPr>
          <w:p>
            <w:pPr>
              <w:spacing w:before="40" w:after="40"/>
            </w:pPr>
            <w:r>
              <w:rPr>
                <w:b w:val="0"/>
                <w:sz w:val="19"/>
              </w:rPr>
              <w:t>~$0.13</w:t>
            </w:r>
          </w:p>
        </w:tc>
        <w:tc>
          <w:tcPr>
            <w:tcW w:type="dxa" w:w="3888"/>
          </w:tcPr>
          <w:p>
            <w:pPr>
              <w:spacing w:before="40" w:after="40"/>
            </w:pPr>
            <w:r>
              <w:rPr>
                <w:b w:val="0"/>
                <w:sz w:val="19"/>
              </w:rPr>
              <w:t>~$4 (if every run succeeds first try)</w:t>
            </w:r>
          </w:p>
        </w:tc>
      </w:tr>
      <w:tr>
        <w:tc>
          <w:tcPr>
            <w:tcW w:type="dxa" w:w="3600"/>
            <w:shd w:val="clear" w:color="auto" w:fill="F4F6F9"/>
          </w:tcPr>
          <w:p>
            <w:pPr>
              <w:spacing w:before="40" w:after="40"/>
            </w:pPr>
            <w:r>
              <w:rPr>
                <w:b w:val="0"/>
                <w:sz w:val="19"/>
              </w:rPr>
              <w:t>Claude Opus (retry day)</w:t>
            </w:r>
          </w:p>
        </w:tc>
        <w:tc>
          <w:tcPr>
            <w:tcW w:type="dxa" w:w="2160"/>
            <w:shd w:val="clear" w:color="auto" w:fill="F4F6F9"/>
          </w:tcPr>
          <w:p>
            <w:pPr>
              <w:spacing w:before="40" w:after="40"/>
            </w:pPr>
            <w:r>
              <w:rPr>
                <w:b w:val="0"/>
                <w:sz w:val="19"/>
              </w:rPr>
              <w:t>~$0.65</w:t>
            </w:r>
          </w:p>
        </w:tc>
        <w:tc>
          <w:tcPr>
            <w:tcW w:type="dxa" w:w="3888"/>
            <w:shd w:val="clear" w:color="auto" w:fill="F4F6F9"/>
          </w:tcPr>
          <w:p>
            <w:pPr>
              <w:spacing w:before="40" w:after="40"/>
            </w:pPr>
            <w:r>
              <w:rPr>
                <w:b w:val="0"/>
                <w:sz w:val="19"/>
              </w:rPr>
              <w:t>Kicks in ~20% of runs</w:t>
            </w:r>
          </w:p>
        </w:tc>
      </w:tr>
      <w:tr>
        <w:tc>
          <w:tcPr>
            <w:tcW w:type="dxa" w:w="3600"/>
          </w:tcPr>
          <w:p>
            <w:pPr>
              <w:spacing w:before="40" w:after="40"/>
            </w:pPr>
            <w:r>
              <w:rPr>
                <w:b w:val="0"/>
                <w:sz w:val="19"/>
              </w:rPr>
              <w:t>Realistic blended cost</w:t>
            </w:r>
          </w:p>
        </w:tc>
        <w:tc>
          <w:tcPr>
            <w:tcW w:type="dxa" w:w="2160"/>
          </w:tcPr>
          <w:p>
            <w:pPr>
              <w:spacing w:before="40" w:after="40"/>
            </w:pPr>
            <w:r>
              <w:rPr>
                <w:b w:val="0"/>
                <w:sz w:val="19"/>
              </w:rPr>
              <w:t>~$0.20</w:t>
            </w:r>
          </w:p>
        </w:tc>
        <w:tc>
          <w:tcPr>
            <w:tcW w:type="dxa" w:w="3888"/>
          </w:tcPr>
          <w:p>
            <w:pPr>
              <w:spacing w:before="40" w:after="40"/>
            </w:pPr>
            <w:r>
              <w:rPr>
                <w:b w:val="0"/>
                <w:sz w:val="19"/>
              </w:rPr>
              <w:t>~$5–8 per digest</w:t>
            </w:r>
          </w:p>
        </w:tc>
      </w:tr>
      <w:tr>
        <w:tc>
          <w:tcPr>
            <w:tcW w:type="dxa" w:w="3600"/>
            <w:shd w:val="clear" w:color="auto" w:fill="F4F6F9"/>
          </w:tcPr>
          <w:p>
            <w:pPr>
              <w:spacing w:before="40" w:after="40"/>
            </w:pPr>
            <w:r>
              <w:rPr>
                <w:b w:val="0"/>
                <w:sz w:val="19"/>
              </w:rPr>
              <w:t>Both digests combined</w:t>
            </w:r>
          </w:p>
        </w:tc>
        <w:tc>
          <w:tcPr>
            <w:tcW w:type="dxa" w:w="2160"/>
            <w:shd w:val="clear" w:color="auto" w:fill="F4F6F9"/>
          </w:tcPr>
          <w:p>
            <w:pPr>
              <w:spacing w:before="40" w:after="40"/>
            </w:pPr>
            <w:r>
              <w:rPr>
                <w:b w:val="0"/>
                <w:sz w:val="19"/>
              </w:rPr>
            </w:r>
          </w:p>
        </w:tc>
        <w:tc>
          <w:tcPr>
            <w:tcW w:type="dxa" w:w="3888"/>
            <w:shd w:val="clear" w:color="auto" w:fill="F4F6F9"/>
          </w:tcPr>
          <w:p>
            <w:pPr>
              <w:spacing w:before="40" w:after="40"/>
            </w:pPr>
            <w:r>
              <w:rPr>
                <w:b w:val="0"/>
                <w:sz w:val="19"/>
              </w:rPr>
              <w:t>~$10–15 API</w:t>
            </w:r>
          </w:p>
        </w:tc>
      </w:tr>
      <w:tr>
        <w:tc>
          <w:tcPr>
            <w:tcW w:type="dxa" w:w="3600"/>
          </w:tcPr>
          <w:p>
            <w:pPr>
              <w:spacing w:before="40" w:after="40"/>
            </w:pPr>
            <w:r>
              <w:rPr>
                <w:b w:val="0"/>
                <w:sz w:val="19"/>
              </w:rPr>
              <w:t>GitHub Actions + Pages + Gmail</w:t>
            </w:r>
          </w:p>
        </w:tc>
        <w:tc>
          <w:tcPr>
            <w:tcW w:type="dxa" w:w="2160"/>
          </w:tcPr>
          <w:p>
            <w:pPr>
              <w:spacing w:before="40" w:after="40"/>
            </w:pPr>
            <w:r>
              <w:rPr>
                <w:b w:val="0"/>
                <w:sz w:val="19"/>
              </w:rPr>
            </w:r>
          </w:p>
        </w:tc>
        <w:tc>
          <w:tcPr>
            <w:tcW w:type="dxa" w:w="3888"/>
          </w:tcPr>
          <w:p>
            <w:pPr>
              <w:spacing w:before="40" w:after="40"/>
            </w:pPr>
            <w:r>
              <w:rPr>
                <w:b w:val="0"/>
                <w:sz w:val="19"/>
              </w:rPr>
              <w:t>$0</w:t>
            </w:r>
          </w:p>
        </w:tc>
      </w:tr>
      <w:tr>
        <w:tc>
          <w:tcPr>
            <w:tcW w:type="dxa" w:w="3600"/>
            <w:shd w:val="clear" w:color="auto" w:fill="F4F6F9"/>
          </w:tcPr>
          <w:p>
            <w:pPr>
              <w:spacing w:before="40" w:after="40"/>
            </w:pPr>
            <w:r>
              <w:rPr>
                <w:b w:val="0"/>
                <w:sz w:val="19"/>
              </w:rPr>
              <w:t>Claude Code (development only)</w:t>
            </w:r>
          </w:p>
        </w:tc>
        <w:tc>
          <w:tcPr>
            <w:tcW w:type="dxa" w:w="2160"/>
            <w:shd w:val="clear" w:color="auto" w:fill="F4F6F9"/>
          </w:tcPr>
          <w:p>
            <w:pPr>
              <w:spacing w:before="40" w:after="40"/>
            </w:pPr>
            <w:r>
              <w:rPr>
                <w:b w:val="0"/>
                <w:sz w:val="19"/>
              </w:rPr>
            </w:r>
          </w:p>
        </w:tc>
        <w:tc>
          <w:tcPr>
            <w:tcW w:type="dxa" w:w="3888"/>
            <w:shd w:val="clear" w:color="auto" w:fill="F4F6F9"/>
          </w:tcPr>
          <w:p>
            <w:pPr>
              <w:spacing w:before="40" w:after="40"/>
            </w:pPr>
            <w:r>
              <w:rPr>
                <w:b w:val="0"/>
                <w:sz w:val="19"/>
              </w:rPr>
              <w:t>~$20 (cancel when not making changes)</w:t>
            </w:r>
          </w:p>
        </w:tc>
      </w:tr>
      <w:tr>
        <w:tc>
          <w:tcPr>
            <w:tcW w:type="dxa" w:w="3600"/>
          </w:tcPr>
          <w:p>
            <w:pPr>
              <w:spacing w:before="40" w:after="40"/>
            </w:pPr>
            <w:r>
              <w:rPr>
                <w:b/>
                <w:sz w:val="19"/>
              </w:rPr>
              <w:t>TOTAL — both digests running</w:t>
            </w:r>
          </w:p>
        </w:tc>
        <w:tc>
          <w:tcPr>
            <w:tcW w:type="dxa" w:w="2160"/>
          </w:tcPr>
          <w:p>
            <w:pPr>
              <w:spacing w:before="40" w:after="40"/>
            </w:pPr>
            <w:r>
              <w:rPr>
                <w:b w:val="0"/>
                <w:sz w:val="19"/>
              </w:rPr>
            </w:r>
          </w:p>
        </w:tc>
        <w:tc>
          <w:tcPr>
            <w:tcW w:type="dxa" w:w="3888"/>
          </w:tcPr>
          <w:p>
            <w:pPr>
              <w:spacing w:before="40" w:after="40"/>
            </w:pPr>
            <w:r>
              <w:rPr>
                <w:b w:val="0"/>
                <w:sz w:val="19"/>
              </w:rPr>
              <w:t>~$30–35/month</w:t>
            </w:r>
          </w:p>
        </w:tc>
      </w:tr>
    </w:tbl>
    <w:p>
      <w:pPr>
        <w:spacing w:after="40"/>
      </w:pPr>
    </w:p>
    <w:p>
      <w:pPr>
        <w:spacing w:before="120" w:after="200"/>
        <w:ind w:left="288"/>
        <w:pBdr>
          <w:left w:val="single" w:sz="12" w:space="6" w:color="1B2A4A"/>
        </w:pBdr>
      </w:pPr>
      <w:r>
        <w:rPr>
          <w:b/>
          <w:color w:val="1B2A4A"/>
          <w:sz w:val="20"/>
        </w:rPr>
        <w:t xml:space="preserve">How the model logic works:  </w:t>
      </w:r>
      <w:r>
        <w:rPr>
          <w:color w:val="555555"/>
          <w:sz w:val="21"/>
        </w:rPr>
        <w:t>The pipeline tries the cheaper Sonnet model first (~$0.13/run). If the output doesn't meet quality minimums — word count, section completeness, source diversity — it automatically retries with Opus (~$0.65/run). Most days Sonnet is sufficient.</w:t>
      </w:r>
    </w:p>
    <w:p>
      <w:pPr>
        <w:spacing w:before="320" w:after="80"/>
        <w:pBdr>
          <w:bottom w:val="single" w:sz="6" w:space="1" w:color="1B2A4A"/>
        </w:pBdr>
      </w:pPr>
      <w:r>
        <w:rPr>
          <w:b/>
          <w:i w:val="0"/>
          <w:color w:val="1B2A4A"/>
          <w:sz w:val="34"/>
        </w:rPr>
        <w:t>5.  Hallucination — The Credibility Problem and How We Solve It</w:t>
      </w:r>
    </w:p>
    <w:p>
      <w:pPr>
        <w:spacing w:before="0" w:after="160"/>
      </w:pPr>
      <w:r>
        <w:rPr>
          <w:b w:val="0"/>
          <w:i w:val="0"/>
          <w:color w:val="555555"/>
          <w:sz w:val="22"/>
        </w:rPr>
        <w:t>Hallucination is when AI generates plausible-sounding but false content — invented quotes, fabricated article titles, links that go nowhere. For a briefing read by NSC staff, Korea desk officers, and senior scholars, one wrong fact destroys credibility. Both digests run 9 guards:</w:t>
      </w:r>
    </w:p>
    <w:p>
      <w:pPr>
        <w:pStyle w:val="ListBullet"/>
        <w:spacing w:before="20" w:after="60"/>
        <w:ind w:left="360"/>
      </w:pPr>
      <w:r>
        <w:rPr>
          <w:b/>
          <w:color w:val="1B2A4A"/>
          <w:sz w:val="21"/>
        </w:rPr>
        <w:t xml:space="preserve">1. Grounded inputs  </w:t>
      </w:r>
      <w:r>
        <w:rPr>
          <w:color w:val="555555"/>
          <w:sz w:val="21"/>
        </w:rPr>
        <w:t>Claude is only allowed to use articles it was actually given as input — it cannot invent sources</w:t>
      </w:r>
    </w:p>
    <w:p>
      <w:pPr>
        <w:pStyle w:val="ListBullet"/>
        <w:spacing w:before="20" w:after="60"/>
        <w:ind w:left="360"/>
      </w:pPr>
      <w:r>
        <w:rPr>
          <w:b/>
          <w:color w:val="1B2A4A"/>
          <w:sz w:val="21"/>
        </w:rPr>
        <w:t xml:space="preserve">2. URL discipline  </w:t>
      </w:r>
      <w:r>
        <w:rPr>
          <w:color w:val="555555"/>
          <w:sz w:val="21"/>
        </w:rPr>
        <w:t>Every URL must come verbatim from the source data — Claude is explicitly told never to construct or modify a URL</w:t>
      </w:r>
    </w:p>
    <w:p>
      <w:pPr>
        <w:pStyle w:val="ListBullet"/>
        <w:spacing w:before="20" w:after="60"/>
        <w:ind w:left="360"/>
      </w:pPr>
      <w:r>
        <w:rPr>
          <w:b/>
          <w:color w:val="1B2A4A"/>
          <w:sz w:val="21"/>
        </w:rPr>
        <w:t xml:space="preserve">3. Link pre-resolution  </w:t>
      </w:r>
      <w:r>
        <w:rPr>
          <w:color w:val="555555"/>
          <w:sz w:val="21"/>
        </w:rPr>
        <w:t>Google News redirect links are resolved to real article URLs before Claude sees them — unresolvable links are stripped before sending</w:t>
      </w:r>
    </w:p>
    <w:p>
      <w:pPr>
        <w:pStyle w:val="ListBullet"/>
        <w:spacing w:before="20" w:after="60"/>
        <w:ind w:left="360"/>
      </w:pPr>
      <w:r>
        <w:rPr>
          <w:b/>
          <w:color w:val="1B2A4A"/>
          <w:sz w:val="21"/>
        </w:rPr>
        <w:t xml:space="preserve">4. Pre-send validation gate  </w:t>
      </w:r>
      <w:r>
        <w:rPr>
          <w:color w:val="555555"/>
          <w:sz w:val="21"/>
        </w:rPr>
        <w:t>Word count floor, required sections present, no placeholder text, date matches today — checked before every send</w:t>
      </w:r>
    </w:p>
    <w:p>
      <w:pPr>
        <w:pStyle w:val="ListBullet"/>
        <w:spacing w:before="20" w:after="60"/>
        <w:ind w:left="360"/>
      </w:pPr>
      <w:r>
        <w:rPr>
          <w:b/>
          <w:color w:val="1B2A4A"/>
          <w:sz w:val="21"/>
        </w:rPr>
        <w:t xml:space="preserve">5. Expert analyst grounding  </w:t>
      </w:r>
      <w:r>
        <w:rPr>
          <w:color w:val="555555"/>
          <w:sz w:val="21"/>
        </w:rPr>
        <w:t>Think tank and journal citations must come from the actual RSS feeds — Claude cannot add expert analysis that wasn't in the input</w:t>
      </w:r>
    </w:p>
    <w:p>
      <w:pPr>
        <w:pStyle w:val="ListBullet"/>
        <w:spacing w:before="20" w:after="60"/>
        <w:ind w:left="360"/>
      </w:pPr>
      <w:r>
        <w:rPr>
          <w:b/>
          <w:color w:val="1B2A4A"/>
          <w:sz w:val="21"/>
        </w:rPr>
        <w:t xml:space="preserve">6. Academic tier filter  </w:t>
      </w:r>
      <w:r>
        <w:rPr>
          <w:color w:val="555555"/>
          <w:sz w:val="21"/>
        </w:rPr>
        <w:t>News articles are blocked from appearing in the academic journal section via domain blocklist + URL checks</w:t>
      </w:r>
    </w:p>
    <w:p>
      <w:pPr>
        <w:pStyle w:val="ListBullet"/>
        <w:spacing w:before="20" w:after="60"/>
        <w:ind w:left="360"/>
      </w:pPr>
      <w:r>
        <w:rPr>
          <w:b/>
          <w:color w:val="1B2A4A"/>
          <w:sz w:val="21"/>
        </w:rPr>
        <w:t xml:space="preserve">7. News domain blocklist  </w:t>
      </w:r>
      <w:r>
        <w:rPr>
          <w:color w:val="555555"/>
          <w:sz w:val="21"/>
        </w:rPr>
        <w:t>~35 news outlet domains blocked from the academic tier — prevents headlines bleeding into journal section via keyword match</w:t>
      </w:r>
    </w:p>
    <w:p>
      <w:pPr>
        <w:pStyle w:val="ListBullet"/>
        <w:spacing w:before="20" w:after="60"/>
        <w:ind w:left="360"/>
      </w:pPr>
      <w:r>
        <w:rPr>
          <w:b/>
          <w:color w:val="1B2A4A"/>
          <w:sz w:val="21"/>
        </w:rPr>
        <w:t xml:space="preserve">8. Auto-retry with feedback  </w:t>
      </w:r>
      <w:r>
        <w:rPr>
          <w:color w:val="555555"/>
          <w:sz w:val="21"/>
        </w:rPr>
        <w:t>If the validation gate fails, the pipeline retries digest generation up to 2× with the failure reason injected into the prompt</w:t>
      </w:r>
    </w:p>
    <w:p>
      <w:pPr>
        <w:pStyle w:val="ListBullet"/>
        <w:spacing w:before="20" w:after="60"/>
        <w:ind w:left="360"/>
      </w:pPr>
      <w:r>
        <w:rPr>
          <w:b/>
          <w:color w:val="1B2A4A"/>
          <w:sz w:val="21"/>
        </w:rPr>
        <w:t xml:space="preserve">9. Scope limits  </w:t>
      </w:r>
      <w:r>
        <w:rPr>
          <w:color w:val="555555"/>
          <w:sz w:val="21"/>
        </w:rPr>
        <w:t>No classified sources, no paywalled content, no signals intelligence — only what is publicly and freely available</w:t>
      </w:r>
    </w:p>
    <w:p>
      <w:pPr>
        <w:spacing w:before="0" w:after="80"/>
      </w:pPr>
      <w:r>
        <w:rPr>
          <w:b w:val="0"/>
          <w:i w:val="0"/>
          <w:sz w:val="22"/>
        </w:rPr>
      </w:r>
    </w:p>
    <w:p>
      <w:pPr>
        <w:spacing w:before="120" w:after="200"/>
        <w:ind w:left="288"/>
        <w:pBdr>
          <w:left w:val="single" w:sz="12" w:space="6" w:color="C0392B"/>
        </w:pBdr>
      </w:pPr>
      <w:r>
        <w:rPr>
          <w:b/>
          <w:color w:val="C0392B"/>
          <w:sz w:val="20"/>
        </w:rPr>
        <w:t xml:space="preserve">Residual risk:  </w:t>
      </w:r>
      <w:r>
        <w:rPr>
          <w:color w:val="555555"/>
          <w:sz w:val="21"/>
        </w:rPr>
        <w:t>The 'So what' analysis and pattern notes are AI interpretations, not sourced facts. Headlines, summaries, and market data are all grounded in real sources. Treat the analysis as a prompt for thinking, not a finished judgment.</w:t>
      </w:r>
    </w:p>
    <w:p>
      <w:pPr>
        <w:spacing w:before="320" w:after="80"/>
        <w:pBdr>
          <w:bottom w:val="single" w:sz="6" w:space="1" w:color="1B2A4A"/>
        </w:pBdr>
      </w:pPr>
      <w:r>
        <w:rPr>
          <w:b/>
          <w:i w:val="0"/>
          <w:color w:val="1B2A4A"/>
          <w:sz w:val="34"/>
        </w:rPr>
        <w:t>6.  Replication — Building a Third Digest</w:t>
      </w:r>
    </w:p>
    <w:p>
      <w:pPr>
        <w:spacing w:before="0" w:after="160"/>
      </w:pPr>
      <w:r>
        <w:rPr>
          <w:b w:val="0"/>
          <w:i w:val="0"/>
          <w:color w:val="555555"/>
          <w:sz w:val="22"/>
        </w:rPr>
        <w:t>The pipeline architecture is topic- and region-agnostic. The hard infrastructure — scheduler, email delivery, validation gate, HTML rendering, market strip, hallucination guards — stays exactly the same. Only the content layer changes.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1B2A4A"/>
          </w:tcPr>
          <w:p>
            <w:pPr>
              <w:spacing w:before="40" w:after="40"/>
            </w:pPr>
            <w:r>
              <w:rPr>
                <w:b/>
                <w:color w:val="FFFFFF"/>
                <w:sz w:val="18"/>
              </w:rPr>
              <w:t>File</w:t>
            </w:r>
          </w:p>
        </w:tc>
        <w:tc>
          <w:tcPr>
            <w:tcW w:type="dxa" w:w="5040"/>
            <w:shd w:val="clear" w:color="auto" w:fill="1B2A4A"/>
          </w:tcPr>
          <w:p>
            <w:pPr>
              <w:spacing w:before="40" w:after="40"/>
            </w:pPr>
            <w:r>
              <w:rPr>
                <w:b/>
                <w:color w:val="FFFFFF"/>
                <w:sz w:val="18"/>
              </w:rPr>
              <w:t>What You Change</w:t>
            </w:r>
          </w:p>
        </w:tc>
        <w:tc>
          <w:tcPr>
            <w:tcW w:type="dxa" w:w="1440"/>
            <w:shd w:val="clear" w:color="auto" w:fill="1B2A4A"/>
          </w:tcPr>
          <w:p>
            <w:pPr>
              <w:spacing w:before="40" w:after="40"/>
            </w:pPr>
            <w:r>
              <w:rPr>
                <w:b/>
                <w:color w:val="FFFFFF"/>
                <w:sz w:val="18"/>
              </w:rPr>
              <w:t>Time</w:t>
            </w:r>
          </w:p>
        </w:tc>
      </w:tr>
      <w:tr>
        <w:tc>
          <w:tcPr>
            <w:tcW w:type="dxa" w:w="1728"/>
          </w:tcPr>
          <w:p>
            <w:pPr>
              <w:spacing w:before="40" w:after="40"/>
            </w:pPr>
            <w:r>
              <w:rPr>
                <w:b w:val="0"/>
                <w:sz w:val="19"/>
              </w:rPr>
              <w:t>collect.py</w:t>
            </w:r>
          </w:p>
        </w:tc>
        <w:tc>
          <w:tcPr>
            <w:tcW w:type="dxa" w:w="5040"/>
          </w:tcPr>
          <w:p>
            <w:pPr>
              <w:spacing w:before="40" w:after="40"/>
            </w:pPr>
            <w:r>
              <w:rPr>
                <w:b w:val="0"/>
                <w:sz w:val="19"/>
              </w:rPr>
              <w:t>Swap in new RSS feeds for the target region/topic</w:t>
            </w:r>
          </w:p>
        </w:tc>
        <w:tc>
          <w:tcPr>
            <w:tcW w:type="dxa" w:w="1440"/>
          </w:tcPr>
          <w:p>
            <w:pPr>
              <w:spacing w:before="40" w:after="40"/>
            </w:pPr>
            <w:r>
              <w:rPr>
                <w:b w:val="0"/>
                <w:sz w:val="19"/>
              </w:rPr>
              <w:t>1–2 days</w:t>
            </w:r>
          </w:p>
        </w:tc>
      </w:tr>
      <w:tr>
        <w:tc>
          <w:tcPr>
            <w:tcW w:type="dxa" w:w="1728"/>
            <w:shd w:val="clear" w:color="auto" w:fill="F4F6F9"/>
          </w:tcPr>
          <w:p>
            <w:pPr>
              <w:spacing w:before="40" w:after="40"/>
            </w:pPr>
            <w:r>
              <w:rPr>
                <w:b w:val="0"/>
                <w:sz w:val="19"/>
              </w:rPr>
              <w:t>digest.py</w:t>
            </w:r>
          </w:p>
        </w:tc>
        <w:tc>
          <w:tcPr>
            <w:tcW w:type="dxa" w:w="5040"/>
            <w:shd w:val="clear" w:color="auto" w:fill="F4F6F9"/>
          </w:tcPr>
          <w:p>
            <w:pPr>
              <w:spacing w:before="40" w:after="40"/>
            </w:pPr>
            <w:r>
              <w:rPr>
                <w:b w:val="0"/>
                <w:sz w:val="19"/>
              </w:rPr>
              <w:t>Rewrite the Claude prompt with the right analytical frame and audience</w:t>
            </w:r>
          </w:p>
        </w:tc>
        <w:tc>
          <w:tcPr>
            <w:tcW w:type="dxa" w:w="1440"/>
            <w:shd w:val="clear" w:color="auto" w:fill="F4F6F9"/>
          </w:tcPr>
          <w:p>
            <w:pPr>
              <w:spacing w:before="40" w:after="40"/>
            </w:pPr>
            <w:r>
              <w:rPr>
                <w:b w:val="0"/>
                <w:sz w:val="19"/>
              </w:rPr>
              <w:t>Half a day</w:t>
            </w:r>
          </w:p>
        </w:tc>
      </w:tr>
      <w:tr>
        <w:tc>
          <w:tcPr>
            <w:tcW w:type="dxa" w:w="1728"/>
          </w:tcPr>
          <w:p>
            <w:pPr>
              <w:spacing w:before="40" w:after="40"/>
            </w:pPr>
            <w:r>
              <w:rPr>
                <w:b w:val="0"/>
                <w:sz w:val="19"/>
              </w:rPr>
              <w:t>render.py</w:t>
            </w:r>
          </w:p>
        </w:tc>
        <w:tc>
          <w:tcPr>
            <w:tcW w:type="dxa" w:w="5040"/>
          </w:tcPr>
          <w:p>
            <w:pPr>
              <w:spacing w:before="40" w:after="40"/>
            </w:pPr>
            <w:r>
              <w:rPr>
                <w:b w:val="0"/>
                <w:sz w:val="19"/>
              </w:rPr>
              <w:t>Update branding, section names, header</w:t>
            </w:r>
          </w:p>
        </w:tc>
        <w:tc>
          <w:tcPr>
            <w:tcW w:type="dxa" w:w="1440"/>
          </w:tcPr>
          <w:p>
            <w:pPr>
              <w:spacing w:before="40" w:after="40"/>
            </w:pPr>
            <w:r>
              <w:rPr>
                <w:b w:val="0"/>
                <w:sz w:val="19"/>
              </w:rPr>
              <w:t>2–3 hours</w:t>
            </w:r>
          </w:p>
        </w:tc>
      </w:tr>
      <w:tr>
        <w:tc>
          <w:tcPr>
            <w:tcW w:type="dxa" w:w="1728"/>
            <w:shd w:val="clear" w:color="auto" w:fill="F4F6F9"/>
          </w:tcPr>
          <w:p>
            <w:pPr>
              <w:spacing w:before="40" w:after="40"/>
            </w:pPr>
            <w:r>
              <w:rPr>
                <w:b w:val="0"/>
                <w:sz w:val="19"/>
              </w:rPr>
              <w:t>send_email.py</w:t>
            </w:r>
          </w:p>
        </w:tc>
        <w:tc>
          <w:tcPr>
            <w:tcW w:type="dxa" w:w="5040"/>
            <w:shd w:val="clear" w:color="auto" w:fill="F4F6F9"/>
          </w:tcPr>
          <w:p>
            <w:pPr>
              <w:spacing w:before="40" w:after="40"/>
            </w:pPr>
            <w:r>
              <w:rPr>
                <w:b w:val="0"/>
                <w:sz w:val="19"/>
              </w:rPr>
              <w:t>Update recipient list</w:t>
            </w:r>
          </w:p>
        </w:tc>
        <w:tc>
          <w:tcPr>
            <w:tcW w:type="dxa" w:w="1440"/>
            <w:shd w:val="clear" w:color="auto" w:fill="F4F6F9"/>
          </w:tcPr>
          <w:p>
            <w:pPr>
              <w:spacing w:before="40" w:after="40"/>
            </w:pPr>
            <w:r>
              <w:rPr>
                <w:b w:val="0"/>
                <w:sz w:val="19"/>
              </w:rPr>
              <w:t>10 minutes</w:t>
            </w:r>
          </w:p>
        </w:tc>
      </w:tr>
    </w:tbl>
    <w:p>
      <w:pPr>
        <w:spacing w:after="40"/>
      </w:pPr>
    </w:p>
    <w:p>
      <w:pPr>
        <w:spacing w:before="160" w:after="120"/>
      </w:pPr>
      <w:r>
        <w:rPr>
          <w:b/>
          <w:i w:val="0"/>
          <w:color w:val="1B2A4A"/>
          <w:sz w:val="24"/>
        </w:rPr>
        <w:t>Example: An Africa Digest</w:t>
      </w:r>
    </w:p>
    <w:p>
      <w:pPr>
        <w:spacing w:before="0" w:after="120"/>
      </w:pPr>
      <w:r>
        <w:rPr>
          <w:b w:val="0"/>
          <w:i w:val="0"/>
          <w:color w:val="555555"/>
          <w:sz w:val="22"/>
        </w:rPr>
        <w:t>Africa is an ideal next candidate — strong English-language press, growing China/Russia engagement that CSIS already tracks, and significant gaps in existing automated monitoring.</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B2A4A"/>
          </w:tcPr>
          <w:p>
            <w:pPr>
              <w:spacing w:before="40" w:after="40"/>
            </w:pPr>
            <w:r>
              <w:rPr>
                <w:b/>
                <w:color w:val="FFFFFF"/>
                <w:sz w:val="18"/>
              </w:rPr>
              <w:t>Tier</w:t>
            </w:r>
          </w:p>
        </w:tc>
        <w:tc>
          <w:tcPr>
            <w:tcW w:type="dxa" w:w="5616"/>
            <w:shd w:val="clear" w:color="auto" w:fill="1B2A4A"/>
          </w:tcPr>
          <w:p>
            <w:pPr>
              <w:spacing w:before="40" w:after="40"/>
            </w:pPr>
            <w:r>
              <w:rPr>
                <w:b/>
                <w:color w:val="FFFFFF"/>
                <w:sz w:val="18"/>
              </w:rPr>
              <w:t>Africa Sources</w:t>
            </w:r>
          </w:p>
        </w:tc>
        <w:tc>
          <w:tcPr>
            <w:tcW w:type="dxa" w:w="1008"/>
            <w:shd w:val="clear" w:color="auto" w:fill="1B2A4A"/>
          </w:tcPr>
          <w:p>
            <w:pPr>
              <w:spacing w:before="40" w:after="40"/>
            </w:pPr>
            <w:r>
              <w:rPr>
                <w:b/>
                <w:color w:val="FFFFFF"/>
                <w:sz w:val="18"/>
              </w:rPr>
              <w:t>Window</w:t>
            </w:r>
          </w:p>
        </w:tc>
      </w:tr>
      <w:tr>
        <w:tc>
          <w:tcPr>
            <w:tcW w:type="dxa" w:w="1872"/>
          </w:tcPr>
          <w:p>
            <w:pPr>
              <w:spacing w:before="40" w:after="40"/>
            </w:pPr>
            <w:r>
              <w:rPr>
                <w:b w:val="0"/>
                <w:sz w:val="19"/>
              </w:rPr>
              <w:t>Tier 1 — News</w:t>
            </w:r>
          </w:p>
        </w:tc>
        <w:tc>
          <w:tcPr>
            <w:tcW w:type="dxa" w:w="5616"/>
          </w:tcPr>
          <w:p>
            <w:pPr>
              <w:spacing w:before="40" w:after="40"/>
            </w:pPr>
            <w:r>
              <w:rPr>
                <w:b w:val="0"/>
                <w:sz w:val="19"/>
              </w:rPr>
              <w:t>Reuters Africa, AP, BBC Africa, Al Jazeera Africa, VOA Africa, AllAfrica, Daily Maverick, Premium Times (Nigeria), The East African, Daily Nation (Kenya), Mail &amp; Guardian</w:t>
            </w:r>
          </w:p>
        </w:tc>
        <w:tc>
          <w:tcPr>
            <w:tcW w:type="dxa" w:w="1008"/>
          </w:tcPr>
          <w:p>
            <w:pPr>
              <w:spacing w:before="40" w:after="40"/>
            </w:pPr>
            <w:r>
              <w:rPr>
                <w:b w:val="0"/>
                <w:sz w:val="19"/>
              </w:rPr>
              <w:t>24h</w:t>
            </w:r>
          </w:p>
        </w:tc>
      </w:tr>
      <w:tr>
        <w:tc>
          <w:tcPr>
            <w:tcW w:type="dxa" w:w="1872"/>
            <w:shd w:val="clear" w:color="auto" w:fill="F4F6F9"/>
          </w:tcPr>
          <w:p>
            <w:pPr>
              <w:spacing w:before="40" w:after="40"/>
            </w:pPr>
            <w:r>
              <w:rPr>
                <w:b w:val="0"/>
                <w:sz w:val="19"/>
              </w:rPr>
              <w:t>Tier 2 — Analysis</w:t>
            </w:r>
          </w:p>
        </w:tc>
        <w:tc>
          <w:tcPr>
            <w:tcW w:type="dxa" w:w="5616"/>
            <w:shd w:val="clear" w:color="auto" w:fill="F4F6F9"/>
          </w:tcPr>
          <w:p>
            <w:pPr>
              <w:spacing w:before="40" w:after="40"/>
            </w:pPr>
            <w:r>
              <w:rPr>
                <w:b w:val="0"/>
                <w:sz w:val="19"/>
              </w:rPr>
              <w:t>Africa Center for Strategic Studies, Brookings Africa, SAIS Africa, ISS Africa, Chatham House Africa, Council on Foreign Relations Africa, War on the Rocks, Foreign Policy</w:t>
            </w:r>
          </w:p>
        </w:tc>
        <w:tc>
          <w:tcPr>
            <w:tcW w:type="dxa" w:w="1008"/>
            <w:shd w:val="clear" w:color="auto" w:fill="F4F6F9"/>
          </w:tcPr>
          <w:p>
            <w:pPr>
              <w:spacing w:before="40" w:after="40"/>
            </w:pPr>
            <w:r>
              <w:rPr>
                <w:b w:val="0"/>
                <w:sz w:val="19"/>
              </w:rPr>
              <w:t>36h</w:t>
            </w:r>
          </w:p>
        </w:tc>
      </w:tr>
      <w:tr>
        <w:tc>
          <w:tcPr>
            <w:tcW w:type="dxa" w:w="1872"/>
          </w:tcPr>
          <w:p>
            <w:pPr>
              <w:spacing w:before="40" w:after="40"/>
            </w:pPr>
            <w:r>
              <w:rPr>
                <w:b w:val="0"/>
                <w:sz w:val="19"/>
              </w:rPr>
              <w:t>Tier 3 — Academic</w:t>
            </w:r>
          </w:p>
        </w:tc>
        <w:tc>
          <w:tcPr>
            <w:tcW w:type="dxa" w:w="5616"/>
          </w:tcPr>
          <w:p>
            <w:pPr>
              <w:spacing w:before="40" w:after="40"/>
            </w:pPr>
            <w:r>
              <w:rPr>
                <w:b w:val="0"/>
                <w:sz w:val="19"/>
              </w:rPr>
              <w:t>African Affairs, Journal of Modern African Studies, African Security, Journal of Eastern African Studies</w:t>
            </w:r>
          </w:p>
        </w:tc>
        <w:tc>
          <w:tcPr>
            <w:tcW w:type="dxa" w:w="1008"/>
          </w:tcPr>
          <w:p>
            <w:pPr>
              <w:spacing w:before="40" w:after="40"/>
            </w:pPr>
            <w:r>
              <w:rPr>
                <w:b w:val="0"/>
                <w:sz w:val="19"/>
              </w:rPr>
              <w:t>72h</w:t>
            </w:r>
          </w:p>
        </w:tc>
      </w:tr>
      <w:tr>
        <w:tc>
          <w:tcPr>
            <w:tcW w:type="dxa" w:w="1872"/>
            <w:shd w:val="clear" w:color="auto" w:fill="F4F6F9"/>
          </w:tcPr>
          <w:p>
            <w:pPr>
              <w:spacing w:before="40" w:after="40"/>
            </w:pPr>
            <w:r>
              <w:rPr>
                <w:b w:val="0"/>
                <w:sz w:val="19"/>
              </w:rPr>
              <w:t>Tier 4 — State Media</w:t>
            </w:r>
          </w:p>
        </w:tc>
        <w:tc>
          <w:tcPr>
            <w:tcW w:type="dxa" w:w="5616"/>
            <w:shd w:val="clear" w:color="auto" w:fill="F4F6F9"/>
          </w:tcPr>
          <w:p>
            <w:pPr>
              <w:spacing w:before="40" w:after="40"/>
            </w:pPr>
            <w:r>
              <w:rPr>
                <w:b w:val="0"/>
                <w:sz w:val="19"/>
              </w:rPr>
              <w:t>CCTV Africa, Xinhua Africa, RT Africa, China Daily Africa, Sputnik Africa</w:t>
            </w:r>
          </w:p>
        </w:tc>
        <w:tc>
          <w:tcPr>
            <w:tcW w:type="dxa" w:w="1008"/>
            <w:shd w:val="clear" w:color="auto" w:fill="F4F6F9"/>
          </w:tcPr>
          <w:p>
            <w:pPr>
              <w:spacing w:before="40" w:after="40"/>
            </w:pPr>
            <w:r>
              <w:rPr>
                <w:b w:val="0"/>
                <w:sz w:val="19"/>
              </w:rPr>
              <w:t>24h</w:t>
            </w:r>
          </w:p>
        </w:tc>
      </w:tr>
    </w:tbl>
    <w:p>
      <w:pPr>
        <w:spacing w:after="40"/>
      </w:pPr>
    </w:p>
    <w:p>
      <w:pPr>
        <w:spacing w:before="80" w:after="80"/>
      </w:pPr>
      <w:r>
        <w:rPr>
          <w:b w:val="0"/>
          <w:i w:val="0"/>
          <w:color w:val="555555"/>
          <w:sz w:val="22"/>
        </w:rPr>
        <w:t>Africa-specific sections would include:</w:t>
      </w:r>
    </w:p>
    <w:p>
      <w:pPr>
        <w:pStyle w:val="ListBullet"/>
        <w:spacing w:before="20" w:after="60"/>
        <w:ind w:left="360"/>
      </w:pPr>
      <w:r>
        <w:rPr>
          <w:b/>
          <w:color w:val="1B2A4A"/>
          <w:sz w:val="21"/>
        </w:rPr>
        <w:t xml:space="preserve">Security:  </w:t>
      </w:r>
      <w:r>
        <w:rPr>
          <w:color w:val="555555"/>
          <w:sz w:val="21"/>
        </w:rPr>
        <w:t>Sahel security tracker — military activity, coup watch, Wagner/Russia presence in Mali, Niger, Burkina Faso</w:t>
      </w:r>
    </w:p>
    <w:p>
      <w:pPr>
        <w:pStyle w:val="ListBullet"/>
        <w:spacing w:before="20" w:after="60"/>
        <w:ind w:left="360"/>
      </w:pPr>
      <w:r>
        <w:rPr>
          <w:b/>
          <w:color w:val="1B2A4A"/>
          <w:sz w:val="21"/>
        </w:rPr>
        <w:t xml:space="preserve">China footprint:  </w:t>
      </w:r>
      <w:r>
        <w:rPr>
          <w:color w:val="555555"/>
          <w:sz w:val="21"/>
        </w:rPr>
        <w:t>China-Africa engagement — BRI lending, port deals, Huawei contracts, diplomatic activity</w:t>
      </w:r>
    </w:p>
    <w:p>
      <w:pPr>
        <w:pStyle w:val="ListBullet"/>
        <w:spacing w:before="20" w:after="60"/>
        <w:ind w:left="360"/>
      </w:pPr>
      <w:r>
        <w:rPr>
          <w:b/>
          <w:color w:val="1B2A4A"/>
          <w:sz w:val="21"/>
        </w:rPr>
        <w:t xml:space="preserve">Resources:  </w:t>
      </w:r>
      <w:r>
        <w:rPr>
          <w:color w:val="555555"/>
          <w:sz w:val="21"/>
        </w:rPr>
        <w:t>Critical minerals — cobalt (DRC), copper (Zambia), lithium, rare earths — supply chain flags</w:t>
      </w:r>
    </w:p>
    <w:p>
      <w:pPr>
        <w:pStyle w:val="ListBullet"/>
        <w:spacing w:before="20" w:after="60"/>
        <w:ind w:left="360"/>
      </w:pPr>
      <w:r>
        <w:rPr>
          <w:b/>
          <w:color w:val="1B2A4A"/>
          <w:sz w:val="21"/>
        </w:rPr>
        <w:t xml:space="preserve">Institutions:  </w:t>
      </w:r>
      <w:r>
        <w:rPr>
          <w:color w:val="555555"/>
          <w:sz w:val="21"/>
        </w:rPr>
        <w:t>AU / ECOWAS / IGAD — regional body activity, peacekeeping mandates, election watch</w:t>
      </w:r>
    </w:p>
    <w:p>
      <w:pPr>
        <w:pStyle w:val="ListBullet"/>
        <w:spacing w:before="20" w:after="60"/>
        <w:ind w:left="360"/>
      </w:pPr>
      <w:r>
        <w:rPr>
          <w:b/>
          <w:color w:val="1B2A4A"/>
          <w:sz w:val="21"/>
        </w:rPr>
        <w:t xml:space="preserve">Markets:  </w:t>
      </w:r>
      <w:r>
        <w:rPr>
          <w:color w:val="555555"/>
          <w:sz w:val="21"/>
        </w:rPr>
        <w:t>Commodity prices — copper, cobalt, gold, crude — tied to market strip</w:t>
      </w:r>
    </w:p>
    <w:p>
      <w:pPr>
        <w:spacing w:before="0" w:after="80"/>
      </w:pPr>
      <w:r>
        <w:rPr>
          <w:b w:val="0"/>
          <w:i w:val="0"/>
          <w:sz w:val="22"/>
        </w:rPr>
      </w:r>
    </w:p>
    <w:p>
      <w:pPr>
        <w:spacing w:before="120" w:after="200"/>
        <w:ind w:left="288"/>
        <w:pBdr>
          <w:left w:val="single" w:sz="12" w:space="6" w:color="1B2A4A"/>
        </w:pBdr>
      </w:pPr>
      <w:r>
        <w:rPr>
          <w:b/>
          <w:color w:val="1B2A4A"/>
          <w:sz w:val="20"/>
        </w:rPr>
        <w:t xml:space="preserve">Realistic estimate:  </w:t>
      </w:r>
      <w:r>
        <w:rPr>
          <w:color w:val="555555"/>
          <w:sz w:val="21"/>
        </w:rPr>
        <w:t>A working Africa digest could be operational in 3–5 days of part-time work, built directly on top of the existing China or Korea codebase. Monthly cost would be identical: ~$5–8/month in API fees.</w:t>
      </w:r>
    </w:p>
    <w:p>
      <w:pPr>
        <w:spacing w:before="320" w:after="80"/>
        <w:pBdr>
          <w:bottom w:val="single" w:sz="6" w:space="1" w:color="1B2A4A"/>
        </w:pBdr>
      </w:pPr>
      <w:r>
        <w:rPr>
          <w:b/>
          <w:i w:val="0"/>
          <w:color w:val="1B2A4A"/>
          <w:sz w:val="34"/>
        </w:rPr>
        <w:t>7.  Do You Need Claude Code After It's Running?</w:t>
      </w:r>
    </w:p>
    <w:p>
      <w:pPr>
        <w:spacing w:before="0" w:after="160"/>
      </w:pPr>
      <w:r>
        <w:rPr>
          <w:b w:val="0"/>
          <w:i w:val="0"/>
          <w:color w:val="555555"/>
          <w:sz w:val="22"/>
        </w:rPr>
        <w:t>No. Claude Code is a development tool — it was used to build, debug, and improve the pipeline. Once it's set up, it runs fully automatically. Claude Code is not part of the daily operation.</w:t>
      </w:r>
    </w:p>
    <w:tbl>
      <w:tblPr>
        <w:tblStyle w:val="TableGrid"/>
        <w:tblW w:type="auto" w:w="0"/>
        <w:jc w:val="left"/>
        <w:tblLook w:firstColumn="1" w:firstRow="1" w:lastColumn="0" w:lastRow="0" w:noHBand="0" w:noVBand="1" w:val="04A0"/>
      </w:tblPr>
      <w:tblGrid>
        <w:gridCol w:w="4703"/>
        <w:gridCol w:w="4703"/>
      </w:tblGrid>
      <w:tr>
        <w:tc>
          <w:tcPr>
            <w:tcW w:type="dxa" w:w="5472"/>
            <w:shd w:val="clear" w:color="auto" w:fill="1B2A4A"/>
          </w:tcPr>
          <w:p>
            <w:pPr>
              <w:spacing w:before="40" w:after="40"/>
            </w:pPr>
            <w:r>
              <w:rPr>
                <w:b/>
                <w:color w:val="FFFFFF"/>
                <w:sz w:val="18"/>
              </w:rPr>
              <w:t>Scenario</w:t>
            </w:r>
          </w:p>
        </w:tc>
        <w:tc>
          <w:tcPr>
            <w:tcW w:type="dxa" w:w="3456"/>
            <w:shd w:val="clear" w:color="auto" w:fill="1B2A4A"/>
          </w:tcPr>
          <w:p>
            <w:pPr>
              <w:spacing w:before="40" w:after="40"/>
            </w:pPr>
            <w:r>
              <w:rPr>
                <w:b/>
                <w:color w:val="FFFFFF"/>
                <w:sz w:val="18"/>
              </w:rPr>
              <w:t>Need Claude Code?</w:t>
            </w:r>
          </w:p>
        </w:tc>
      </w:tr>
      <w:tr>
        <w:tc>
          <w:tcPr>
            <w:tcW w:type="dxa" w:w="5472"/>
          </w:tcPr>
          <w:p>
            <w:pPr>
              <w:spacing w:before="40" w:after="40"/>
            </w:pPr>
            <w:r>
              <w:rPr>
                <w:b w:val="0"/>
                <w:sz w:val="19"/>
              </w:rPr>
              <w:t>Daily operation — pipeline runs, email delivers</w:t>
            </w:r>
          </w:p>
        </w:tc>
        <w:tc>
          <w:tcPr>
            <w:tcW w:type="dxa" w:w="3456"/>
          </w:tcPr>
          <w:p>
            <w:pPr>
              <w:spacing w:before="40" w:after="40"/>
            </w:pPr>
            <w:r>
              <w:rPr>
                <w:b w:val="0"/>
                <w:sz w:val="19"/>
              </w:rPr>
              <w:t>No</w:t>
            </w:r>
          </w:p>
        </w:tc>
      </w:tr>
      <w:tr>
        <w:tc>
          <w:tcPr>
            <w:tcW w:type="dxa" w:w="5472"/>
            <w:shd w:val="clear" w:color="auto" w:fill="F4F6F9"/>
          </w:tcPr>
          <w:p>
            <w:pPr>
              <w:spacing w:before="40" w:after="40"/>
            </w:pPr>
            <w:r>
              <w:rPr>
                <w:b w:val="0"/>
                <w:sz w:val="19"/>
              </w:rPr>
              <w:t>Adding a new RSS source</w:t>
            </w:r>
          </w:p>
        </w:tc>
        <w:tc>
          <w:tcPr>
            <w:tcW w:type="dxa" w:w="3456"/>
            <w:shd w:val="clear" w:color="auto" w:fill="F4F6F9"/>
          </w:tcPr>
          <w:p>
            <w:pPr>
              <w:spacing w:before="40" w:after="40"/>
            </w:pPr>
            <w:r>
              <w:rPr>
                <w:b w:val="0"/>
                <w:sz w:val="19"/>
              </w:rPr>
              <w:t>No — edit one line in collect.py</w:t>
            </w:r>
          </w:p>
        </w:tc>
      </w:tr>
      <w:tr>
        <w:tc>
          <w:tcPr>
            <w:tcW w:type="dxa" w:w="5472"/>
          </w:tcPr>
          <w:p>
            <w:pPr>
              <w:spacing w:before="40" w:after="40"/>
            </w:pPr>
            <w:r>
              <w:rPr>
                <w:b w:val="0"/>
                <w:sz w:val="19"/>
              </w:rPr>
              <w:t>Changing the recipient list</w:t>
            </w:r>
          </w:p>
        </w:tc>
        <w:tc>
          <w:tcPr>
            <w:tcW w:type="dxa" w:w="3456"/>
          </w:tcPr>
          <w:p>
            <w:pPr>
              <w:spacing w:before="40" w:after="40"/>
            </w:pPr>
            <w:r>
              <w:rPr>
                <w:b w:val="0"/>
                <w:sz w:val="19"/>
              </w:rPr>
              <w:t>No — update one environment variable</w:t>
            </w:r>
          </w:p>
        </w:tc>
      </w:tr>
      <w:tr>
        <w:tc>
          <w:tcPr>
            <w:tcW w:type="dxa" w:w="5472"/>
            <w:shd w:val="clear" w:color="auto" w:fill="F4F6F9"/>
          </w:tcPr>
          <w:p>
            <w:pPr>
              <w:spacing w:before="40" w:after="40"/>
            </w:pPr>
            <w:r>
              <w:rPr>
                <w:b w:val="0"/>
                <w:sz w:val="19"/>
              </w:rPr>
              <w:t>Adjusting the send time</w:t>
            </w:r>
          </w:p>
        </w:tc>
        <w:tc>
          <w:tcPr>
            <w:tcW w:type="dxa" w:w="3456"/>
            <w:shd w:val="clear" w:color="auto" w:fill="F4F6F9"/>
          </w:tcPr>
          <w:p>
            <w:pPr>
              <w:spacing w:before="40" w:after="40"/>
            </w:pPr>
            <w:r>
              <w:rPr>
                <w:b w:val="0"/>
                <w:sz w:val="19"/>
              </w:rPr>
              <w:t>No — change one line in the schedule file</w:t>
            </w:r>
          </w:p>
        </w:tc>
      </w:tr>
      <w:tr>
        <w:tc>
          <w:tcPr>
            <w:tcW w:type="dxa" w:w="5472"/>
          </w:tcPr>
          <w:p>
            <w:pPr>
              <w:spacing w:before="40" w:after="40"/>
            </w:pPr>
            <w:r>
              <w:rPr>
                <w:b w:val="0"/>
                <w:sz w:val="19"/>
              </w:rPr>
              <w:t>Adding a new digest section</w:t>
            </w:r>
          </w:p>
        </w:tc>
        <w:tc>
          <w:tcPr>
            <w:tcW w:type="dxa" w:w="3456"/>
          </w:tcPr>
          <w:p>
            <w:pPr>
              <w:spacing w:before="40" w:after="40"/>
            </w:pPr>
            <w:r>
              <w:rPr>
                <w:b w:val="0"/>
                <w:sz w:val="19"/>
              </w:rPr>
              <w:t>Yes — prompt engineering + render changes</w:t>
            </w:r>
          </w:p>
        </w:tc>
      </w:tr>
      <w:tr>
        <w:tc>
          <w:tcPr>
            <w:tcW w:type="dxa" w:w="5472"/>
            <w:shd w:val="clear" w:color="auto" w:fill="F4F6F9"/>
          </w:tcPr>
          <w:p>
            <w:pPr>
              <w:spacing w:before="40" w:after="40"/>
            </w:pPr>
            <w:r>
              <w:rPr>
                <w:b w:val="0"/>
                <w:sz w:val="19"/>
              </w:rPr>
              <w:t>Building a third digest (new region)</w:t>
            </w:r>
          </w:p>
        </w:tc>
        <w:tc>
          <w:tcPr>
            <w:tcW w:type="dxa" w:w="3456"/>
            <w:shd w:val="clear" w:color="auto" w:fill="F4F6F9"/>
          </w:tcPr>
          <w:p>
            <w:pPr>
              <w:spacing w:before="40" w:after="40"/>
            </w:pPr>
            <w:r>
              <w:rPr>
                <w:b w:val="0"/>
                <w:sz w:val="19"/>
              </w:rPr>
              <w:t>Yes — 3–5 days</w:t>
            </w:r>
          </w:p>
        </w:tc>
      </w:tr>
      <w:tr>
        <w:tc>
          <w:tcPr>
            <w:tcW w:type="dxa" w:w="5472"/>
          </w:tcPr>
          <w:p>
            <w:pPr>
              <w:spacing w:before="40" w:after="40"/>
            </w:pPr>
            <w:r>
              <w:rPr>
                <w:b w:val="0"/>
                <w:sz w:val="19"/>
              </w:rPr>
              <w:t>Debugging a pipeline failure</w:t>
            </w:r>
          </w:p>
        </w:tc>
        <w:tc>
          <w:tcPr>
            <w:tcW w:type="dxa" w:w="3456"/>
          </w:tcPr>
          <w:p>
            <w:pPr>
              <w:spacing w:before="40" w:after="40"/>
            </w:pPr>
            <w:r>
              <w:rPr>
                <w:b w:val="0"/>
                <w:sz w:val="19"/>
              </w:rPr>
              <w:t>Helpful, not required</w:t>
            </w:r>
          </w:p>
        </w:tc>
      </w:tr>
    </w:tbl>
    <w:p>
      <w:pPr>
        <w:spacing w:after="40"/>
      </w:pPr>
    </w:p>
    <w:p>
      <w:pPr>
        <w:spacing w:before="120" w:after="200"/>
        <w:ind w:left="288"/>
        <w:pBdr>
          <w:left w:val="single" w:sz="12" w:space="6" w:color="1B2A4A"/>
        </w:pBdr>
      </w:pPr>
      <w:r>
        <w:rPr>
          <w:b/>
          <w:color w:val="1B2A4A"/>
          <w:sz w:val="20"/>
        </w:rPr>
        <w:t xml:space="preserve">Ongoing cost without Claude Code:  </w:t>
      </w:r>
      <w:r>
        <w:rPr>
          <w:color w:val="555555"/>
          <w:sz w:val="21"/>
        </w:rPr>
        <w:t>Cancel the ~$20/month Claude Code subscription once development is complete. The pipeline continues running on just the Claude API (~$10–15/month for both digests).</w:t>
      </w:r>
    </w:p>
    <w:p>
      <w:pPr>
        <w:spacing w:before="320" w:after="80"/>
        <w:pBdr>
          <w:bottom w:val="single" w:sz="6" w:space="1" w:color="1B2A4A"/>
        </w:pBdr>
      </w:pPr>
      <w:r>
        <w:rPr>
          <w:b/>
          <w:i w:val="0"/>
          <w:color w:val="1B2A4A"/>
          <w:sz w:val="34"/>
        </w:rPr>
        <w:t>8.  Anticipated Questions</w:t>
      </w:r>
    </w:p>
    <w:p>
      <w:pPr>
        <w:spacing w:before="160" w:after="40"/>
      </w:pPr>
      <w:r>
        <w:rPr>
          <w:b/>
          <w:color w:val="1B2A4A"/>
          <w:sz w:val="22"/>
        </w:rPr>
        <w:t>Q:  What if the AI gets something wrong?</w:t>
      </w:r>
    </w:p>
    <w:p>
      <w:pPr>
        <w:spacing w:before="0" w:after="80"/>
        <w:ind w:left="216"/>
      </w:pPr>
      <w:r>
        <w:rPr>
          <w:color w:val="555555"/>
          <w:sz w:val="21"/>
        </w:rPr>
        <w:t>The validation gate catches the most common failures before the email sends. For analytical errors in the 'So what' framing, the pipeline doesn't self-correct — a human reader would flag it. This is why the interpretive analysis should be treated as a prompt, not a verdict. The factual layer (headlines, sources, URLs, market data) is grounded and checked.</w:t>
      </w:r>
    </w:p>
    <w:p>
      <w:pPr>
        <w:spacing w:before="160" w:after="40"/>
      </w:pPr>
      <w:r>
        <w:rPr>
          <w:b/>
          <w:color w:val="1B2A4A"/>
          <w:sz w:val="22"/>
        </w:rPr>
        <w:t>Q:  Could this replace a research assistant?</w:t>
      </w:r>
    </w:p>
    <w:p>
      <w:pPr>
        <w:spacing w:before="0" w:after="80"/>
        <w:ind w:left="216"/>
      </w:pPr>
      <w:r>
        <w:rPr>
          <w:color w:val="555555"/>
          <w:sz w:val="21"/>
        </w:rPr>
        <w:t>For the read-ahead function — scanning 130+ sources overnight and producing a structured brief — yes, substantially. For deeper analytical work, stakeholder outreach, or judgment calls, no. The Korea and China digests replace the first 90 minutes of an analyst's morning, not the analyst.</w:t>
      </w:r>
    </w:p>
    <w:p>
      <w:pPr>
        <w:spacing w:before="160" w:after="40"/>
      </w:pPr>
      <w:r>
        <w:rPr>
          <w:b/>
          <w:color w:val="1B2A4A"/>
          <w:sz w:val="22"/>
        </w:rPr>
        <w:t>Q:  Why Claude and not GPT-4 or Gemini?</w:t>
      </w:r>
    </w:p>
    <w:p>
      <w:pPr>
        <w:spacing w:before="0" w:after="80"/>
        <w:ind w:left="216"/>
      </w:pPr>
      <w:r>
        <w:rPr>
          <w:color w:val="555555"/>
          <w:sz w:val="21"/>
        </w:rPr>
        <w:t>Claude was chosen for: (1) large context window that handles 130+ articles per run, (2) reliable structured JSON output, (3) prompt caching that reduces repeat costs, (4) strong performance on Korean and Chinese-language content. The system is model-agnostic in principle — changing the model is a one-line edit.</w:t>
      </w:r>
    </w:p>
    <w:p>
      <w:pPr>
        <w:spacing w:before="160" w:after="40"/>
      </w:pPr>
      <w:r>
        <w:rPr>
          <w:b/>
          <w:color w:val="1B2A4A"/>
          <w:sz w:val="22"/>
        </w:rPr>
        <w:t>Q:  How does Korean/Chinese-language content work?</w:t>
      </w:r>
    </w:p>
    <w:p>
      <w:pPr>
        <w:spacing w:before="0" w:after="80"/>
        <w:ind w:left="216"/>
      </w:pPr>
      <w:r>
        <w:rPr>
          <w:color w:val="555555"/>
          <w:sz w:val="21"/>
        </w:rPr>
        <w:t>About 20 of the Korea digest's 71 Tier 1 feeds are Korean-language sources (조선일보, 한겨레, JTBC, KBS, etc.). The China digest includes 人民日报, 新华社, 环球时报, and Caixin. These articles are collected in their original language and sent to Claude, which translates and analyzes them during digest generation. This gives coverage that English-only monitoring misses entirely.</w:t>
      </w:r>
    </w:p>
    <w:p>
      <w:pPr>
        <w:spacing w:before="160" w:after="40"/>
      </w:pPr>
      <w:r>
        <w:rPr>
          <w:b/>
          <w:color w:val="1B2A4A"/>
          <w:sz w:val="22"/>
        </w:rPr>
        <w:t>Q:  Is this secure? Are our sources exposed?</w:t>
      </w:r>
    </w:p>
    <w:p>
      <w:pPr>
        <w:spacing w:before="0" w:after="80"/>
        <w:ind w:left="216"/>
      </w:pPr>
      <w:r>
        <w:rPr>
          <w:color w:val="555555"/>
          <w:sz w:val="21"/>
        </w:rPr>
        <w:t>The pipeline reads only publicly available RSS feeds and open websites. No credentials, subscriptions, or classified systems are accessed. The Anthropic API key and Gmail password are stored as encrypted GitHub secrets — not in the code itself.</w:t>
      </w:r>
    </w:p>
    <w:p>
      <w:pPr>
        <w:spacing w:before="160" w:after="40"/>
      </w:pPr>
      <w:r>
        <w:rPr>
          <w:b/>
          <w:color w:val="1B2A4A"/>
          <w:sz w:val="22"/>
        </w:rPr>
        <w:t>Q:  What if Anthropic raises prices or Claude gets worse?</w:t>
      </w:r>
    </w:p>
    <w:p>
      <w:pPr>
        <w:spacing w:before="0" w:after="80"/>
        <w:ind w:left="216"/>
      </w:pPr>
      <w:r>
        <w:rPr>
          <w:color w:val="555555"/>
          <w:sz w:val="21"/>
        </w:rPr>
        <w:t>The model name is a single variable in the code. Switching to a different Claude model, or in principle a different AI provider, requires changing one line. The pipeline is not locked to any specific model version.</w:t>
      </w:r>
    </w:p>
    <w:p>
      <w:pPr>
        <w:spacing w:before="160" w:after="40"/>
      </w:pPr>
      <w:r>
        <w:rPr>
          <w:b/>
          <w:color w:val="1B2A4A"/>
          <w:sz w:val="22"/>
        </w:rPr>
        <w:t>Q:  What happens if the pipeline fails?</w:t>
      </w:r>
    </w:p>
    <w:p>
      <w:pPr>
        <w:spacing w:before="0" w:after="80"/>
        <w:ind w:left="216"/>
      </w:pPr>
      <w:r>
        <w:rPr>
          <w:color w:val="555555"/>
          <w:sz w:val="21"/>
        </w:rPr>
        <w:t>A fallback cron fires 60 minutes after the primary run. If the primary already succeeded, the fallback detects this and skips. If both fail, no email sends — silence is preferable to a broken product. GitHub Actions logs show exactly where and why it failed.</w:t>
      </w:r>
    </w:p>
    <w:p>
      <w:pPr>
        <w:spacing w:before="160" w:after="40"/>
      </w:pPr>
      <w:r>
        <w:rPr>
          <w:b/>
          <w:color w:val="1B2A4A"/>
          <w:sz w:val="22"/>
        </w:rPr>
        <w:t>Q:  How long did this take to build?</w:t>
      </w:r>
    </w:p>
    <w:p>
      <w:pPr>
        <w:spacing w:before="0" w:after="80"/>
        <w:ind w:left="216"/>
      </w:pPr>
      <w:r>
        <w:rPr>
          <w:color w:val="555555"/>
          <w:sz w:val="21"/>
        </w:rPr>
        <w:t>The Korea digest took about two weeks of part-time development to reach a reliable daily cadence. The China digest was built in roughly one week on top of the Korea codebase. An Africa digest would take 3–5 days — the infrastructure is already proven.</w:t>
      </w:r>
    </w:p>
    <w:p>
      <w:pPr>
        <w:spacing w:before="160" w:after="40"/>
      </w:pPr>
      <w:r>
        <w:rPr>
          <w:b/>
          <w:color w:val="1B2A4A"/>
          <w:sz w:val="22"/>
        </w:rPr>
        <w:t>Q:  Can non-technical staff manage this once it's running?</w:t>
      </w:r>
    </w:p>
    <w:p>
      <w:pPr>
        <w:spacing w:before="0" w:after="80"/>
        <w:ind w:left="216"/>
      </w:pPr>
      <w:r>
        <w:rPr>
          <w:color w:val="555555"/>
          <w:sz w:val="21"/>
        </w:rPr>
        <w:t>Yes. Day-to-day operation requires no technical knowledge — it runs itself. Adding recipients, adjusting timing, or enabling/disabling the workflow can all be done through GitHub's web interface with no coding. Code changes require a developer or Claude Code.</w:t>
      </w:r>
    </w:p>
    <w:p>
      <w:pPr>
        <w:spacing w:before="160" w:after="40"/>
      </w:pPr>
      <w:r>
        <w:rPr>
          <w:b/>
          <w:color w:val="1B2A4A"/>
          <w:sz w:val="22"/>
        </w:rPr>
        <w:t>Q:  Could this be distributed to a larger list?</w:t>
      </w:r>
    </w:p>
    <w:p>
      <w:pPr>
        <w:spacing w:before="0" w:after="80"/>
        <w:ind w:left="216"/>
      </w:pPr>
      <w:r>
        <w:rPr>
          <w:color w:val="555555"/>
          <w:sz w:val="21"/>
        </w:rPr>
        <w:t>Yes. The recipient list is a comma-separated environment variable. It can send to any number of addresses — a list of 50 costs the same as a list of 1. Future work includes subscriber management with subscribe/unsubscribe.</w:t>
      </w:r>
    </w:p>
    <w:p>
      <w:pPr>
        <w:spacing w:before="160" w:after="40"/>
      </w:pPr>
      <w:r>
        <w:rPr>
          <w:b/>
          <w:color w:val="1B2A4A"/>
          <w:sz w:val="22"/>
        </w:rPr>
        <w:t>Q:  What's the biggest ongoing risk?</w:t>
      </w:r>
    </w:p>
    <w:p>
      <w:pPr>
        <w:spacing w:before="0" w:after="80"/>
        <w:ind w:left="216"/>
      </w:pPr>
      <w:r>
        <w:rPr>
          <w:color w:val="555555"/>
          <w:sz w:val="21"/>
        </w:rPr>
        <w:t>Source quality. The digest is only as good as its inputs. If a key source goes behind a paywall, changes its RSS format, or stops publishing, that coverage disappears without notification. Quarterly review of source coverage is the main ongoing maintenance task.</w:t>
      </w:r>
    </w:p>
    <w:p>
      <w:r>
        <w:br w:type="page"/>
      </w:r>
    </w:p>
    <w:p>
      <w:pPr>
        <w:spacing w:before="1000"/>
        <w:jc w:val="center"/>
      </w:pPr>
      <w:r>
        <w:rPr>
          <w:b/>
          <w:color w:val="1B2A4A"/>
          <w:sz w:val="24"/>
        </w:rPr>
        <w:t>CSIS Korea Chair  ·  Daily Intelligence Digest</w:t>
      </w:r>
    </w:p>
    <w:p>
      <w:pPr>
        <w:spacing w:after="400"/>
        <w:jc w:val="center"/>
      </w:pPr>
      <w:r>
        <w:rPr>
          <w:color w:val="555555"/>
          <w:sz w:val="22"/>
        </w:rPr>
        <w:t>China Brief  ·  Korea Brief  ·  Replication Guide</w:t>
      </w:r>
    </w:p>
    <w:p>
      <w:pPr>
        <w:jc w:val="center"/>
      </w:pPr>
      <w:r>
        <w:rPr>
          <w:color w:val="888888"/>
          <w:sz w:val="20"/>
        </w:rPr>
        <w:t>Code: github.com/andysaulim/Daily-China-Digest</w:t>
      </w:r>
    </w:p>
    <w:p>
      <w:pPr>
        <w:jc w:val="center"/>
      </w:pPr>
      <w:r>
        <w:rPr>
          <w:color w:val="888888"/>
          <w:sz w:val="20"/>
        </w:rPr>
        <w:t>Prepared by Andy Lim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