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A4A"/>
          <w:sz w:val="36"/>
          <w:szCs w:val="36"/>
        </w:rPr>
        <w:t xml:space="preserve">Memo — Japan Chair Review: Proposed Changes to the Daily Japan Digest</w:t>
      </w:r>
    </w:p>
    <w:p>
      <w:pPr>
        <w:pBdr>
          <w:bottom w:val="single" w:color="2E75B6" w:sz="8" w:space="4"/>
        </w:pBdr>
        <w:spacing w:after="160"/>
      </w:pPr>
    </w:p>
    <w:p>
      <w:pPr>
        <w:spacing w:after="100"/>
      </w:pPr>
      <w:r>
        <w:rPr>
          <w:b/>
          <w:bCs/>
        </w:rPr>
        <w:t xml:space="preserve">To:</w:t>
      </w:r>
      <w:r>
        <w:t xml:space="preserve"> CSIS Japan Chair</w:t>
      </w:r>
    </w:p>
    <w:p>
      <w:pPr>
        <w:spacing w:after="100"/>
      </w:pPr>
      <w:r>
        <w:rPr>
          <w:b/>
          <w:bCs/>
        </w:rPr>
        <w:t xml:space="preserve">From:</w:t>
      </w:r>
      <w:r>
        <w:t xml:space="preserve"> Andy Lim</w:t>
      </w:r>
    </w:p>
    <w:p>
      <w:pPr>
        <w:spacing w:after="100"/>
      </w:pPr>
      <w:r>
        <w:rPr>
          <w:b/>
          <w:bCs/>
        </w:rPr>
        <w:t xml:space="preserve">Re:</w:t>
      </w:r>
      <w:r>
        <w:t xml:space="preserve"> Implementation plan for reviewer comments on the Daily Japan Digest setup</w:t>
      </w:r>
    </w:p>
    <w:p>
      <w:pPr>
        <w:spacing w:after="100"/>
      </w:pPr>
      <w:r>
        <w:rPr>
          <w:b/>
          <w:bCs/>
        </w:rPr>
        <w:t xml:space="preserve">Reviewers:</w:t>
      </w:r>
      <w:r>
        <w:t xml:space="preserve"> Kristi Govella · Yuko Nakano · Nicholas Szechenyi</w:t>
      </w:r>
    </w:p>
    <w:p>
      <w:pPr>
        <w:spacing w:after="100"/>
      </w:pPr>
      <w:r>
        <w:rPr>
          <w:b/>
          <w:bCs/>
        </w:rPr>
        <w:t xml:space="preserve">Comments received:</w:t>
      </w:r>
      <w:r>
        <w:t xml:space="preserve"> 14</w:t>
      </w:r>
    </w:p>
    <w:p>
      <w:pPr>
        <w:pBdr>
          <w:bottom w:val="single" w:color="DDDDDD" w:sz="4" w:space="2"/>
        </w:pBdr>
        <w:spacing w:after="40" w:before="40"/>
      </w:pPr>
    </w:p>
    <w:p>
      <w:pPr>
        <w:pStyle w:val="Heading1"/>
      </w:pPr>
      <w:r>
        <w:t xml:space="preserve">Summary</w:t>
      </w:r>
    </w:p>
    <w:p>
      <w:pPr>
        <w:spacing w:after="100"/>
      </w:pPr>
      <w:r>
        <w:t xml:space="preserve">Thank you for the review. All 14 comments have been collected and mapped to specific changes in the pipeline. The picture is encouraging: roughly ten of the fourteen are drop-in source additions or factual corrections that carry no risk and can ship immediately. Three are prompt-level changes to steer coverage and correct trade/alliance figures. One — how to display cabinet-approval polling — involves a genuine design choice where two reviewers pointed in slightly different directions, and it is the only item needing a decision before we build.</w:t>
      </w:r>
    </w:p>
    <w:p>
      <w:pPr>
        <w:spacing w:after="100"/>
      </w:pPr>
      <w:r>
        <w:t xml:space="preserve">Proposed sequencing: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1 — Drop-ins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New feeds, journals, regional press, analysts; remove USIP; add Onoda; fix BOJ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#1, 2, 3, 8, 9, 11, 13, 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Ready to ship — no risk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2 — Coverage &amp; accuracy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Rare-earths + $550B targeting; US-Japan trade/alliance rewrite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#4, 7, 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Ready on green-light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3 — Polling display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Multiple polls / aggregator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#5, 6, 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Needs a decision (see §H)</w:t>
            </w:r>
          </w:p>
        </w:tc>
      </w:tr>
    </w:tbl>
    <w:p>
      <w:pPr>
        <w:spacing w:after="80"/>
      </w:pPr>
    </w:p>
    <w:p>
      <w:pPr>
        <w:pBdr>
          <w:bottom w:val="single" w:color="DDDDDD" w:sz="4" w:space="2"/>
        </w:pBdr>
        <w:spacing w:after="40" w:before="40"/>
      </w:pPr>
    </w:p>
    <w:p>
      <w:pPr>
        <w:pStyle w:val="Heading1"/>
      </w:pPr>
      <w:r>
        <w:t xml:space="preserve">A. New think-tank feeds (Tier 2)</w:t>
      </w:r>
    </w:p>
    <w:p>
      <w:pPr>
        <w:spacing w:after="100"/>
      </w:pPr>
      <w:r>
        <w:rPr>
          <w:i/>
          <w:iCs/>
        </w:rPr>
        <w:t xml:space="preserve">Govella #1 · Szechenyi #14 · Govella #8 — drop-in, low risk</w:t>
      </w:r>
    </w:p>
    <w:p>
      <w:pPr>
        <w:spacing w:after="100"/>
      </w:pPr>
      <w:r>
        <w:rPr>
          <w:b/>
          <w:bCs/>
        </w:rPr>
        <w:t xml:space="preserve">Add (Govella):</w:t>
      </w:r>
      <w:r>
        <w:t xml:space="preserve"> Pacific Forum, Congressional Research Service, Asia Policy Point, Japan Economy Watch (Richard Katz), VUB/CSDS Japan Chair.</w:t>
      </w:r>
    </w:p>
    <w:p>
      <w:pPr>
        <w:spacing w:after="100"/>
      </w:pPr>
      <w:r>
        <w:rPr>
          <w:b/>
          <w:bCs/>
        </w:rPr>
        <w:t xml:space="preserve">Add (Szechenyi — survey/opinion-data institutions):</w:t>
      </w:r>
      <w:r>
        <w:t xml:space="preserve"> ASAN Institute, ISEAS–Yusof Ishak Institute, Genron NPO, Chicago Council on Global Affairs, Pew Research Center.</w:t>
      </w:r>
    </w:p>
    <w:p>
      <w:pPr>
        <w:spacing w:after="100"/>
      </w:pPr>
      <w:r>
        <w:rPr>
          <w:b/>
          <w:bCs/>
        </w:rPr>
        <w:t xml:space="preserve">Remove (Govella):</w:t>
      </w:r>
      <w:r>
        <w:t xml:space="preserve"> USIP.</w:t>
      </w:r>
    </w:p>
    <w:p>
      <w:pPr>
        <w:spacing w:after="100"/>
      </w:pPr>
      <w:r>
        <w:t xml:space="preserve">Each is a one-line change to the feed list, mirrored in the public source inventory. </w:t>
      </w:r>
      <w:r>
        <w:rPr>
          <w:i/>
          <w:iCs/>
        </w:rPr>
        <w:t xml:space="preserve">Caveat:</w:t>
      </w:r>
      <w:r>
        <w:t xml:space="preserve"> a few of these (CRS, the Katz Substack, Genron NPO, CSDS) are not always well-indexed by the news aggregator we query; where hit-rates are low in the first runs we will switch to the outlet's direct feed. No decision required.</w:t>
      </w:r>
    </w:p>
    <w:p>
      <w:pPr>
        <w:pBdr>
          <w:bottom w:val="single" w:color="DDDDDD" w:sz="4" w:space="2"/>
        </w:pBdr>
        <w:spacing w:after="40" w:before="40"/>
      </w:pPr>
    </w:p>
    <w:p>
      <w:pPr>
        <w:pStyle w:val="Heading1"/>
      </w:pPr>
      <w:r>
        <w:t xml:space="preserve">B. New academic journals (Tier 3)</w:t>
      </w:r>
    </w:p>
    <w:p>
      <w:pPr>
        <w:spacing w:after="100"/>
      </w:pPr>
      <w:r>
        <w:rPr>
          <w:i/>
          <w:iCs/>
        </w:rPr>
        <w:t xml:space="preserve">Govella #2 — drop-in</w:t>
      </w:r>
    </w:p>
    <w:p>
      <w:pPr>
        <w:spacing w:after="100"/>
      </w:pPr>
      <w:r>
        <w:t xml:space="preserve">Add: Asia Policy (A), Asia-Pacific Journal: Japan Focus (B), Asian Security (B), International Relations of the Asia-Pacific (A), The Pacific Review (A), Contemporary Japan (B), Japan Review (B). One line each. No decision required.</w:t>
      </w:r>
    </w:p>
    <w:p>
      <w:pPr>
        <w:pBdr>
          <w:bottom w:val="single" w:color="DDDDDD" w:sz="4" w:space="2"/>
        </w:pBdr>
        <w:spacing w:after="40" w:before="40"/>
      </w:pPr>
    </w:p>
    <w:p>
      <w:pPr>
        <w:pStyle w:val="Heading1"/>
      </w:pPr>
      <w:r>
        <w:t xml:space="preserve">C. Regional press</w:t>
      </w:r>
    </w:p>
    <w:p>
      <w:pPr>
        <w:spacing w:after="100"/>
      </w:pPr>
      <w:r>
        <w:rPr>
          <w:i/>
          <w:iCs/>
        </w:rPr>
        <w:t xml:space="preserve">Szechenyi #13 — drop-in</w:t>
      </w:r>
    </w:p>
    <w:p>
      <w:pPr>
        <w:spacing w:after="100"/>
      </w:pPr>
      <w:r>
        <w:t xml:space="preserve">Broaden allied/regional reaction with </w:t>
      </w:r>
      <w:r>
        <w:rPr>
          <w:b/>
          <w:bCs/>
        </w:rPr>
        <w:t xml:space="preserve">The Australian</w:t>
      </w:r>
      <w:r>
        <w:t xml:space="preserve"> (Australia), </w:t>
      </w:r>
      <w:r>
        <w:rPr>
          <w:b/>
          <w:bCs/>
        </w:rPr>
        <w:t xml:space="preserve">Indian Express</w:t>
      </w:r>
      <w:r>
        <w:t xml:space="preserve"> (India), and </w:t>
      </w:r>
      <w:r>
        <w:rPr>
          <w:b/>
          <w:bCs/>
        </w:rPr>
        <w:t xml:space="preserve">Rappler</w:t>
      </w:r>
      <w:r>
        <w:t xml:space="preserve"> (Philippines), alongside the existing Korea/China/Russia reaction feeds. No decision required.</w:t>
      </w:r>
    </w:p>
    <w:p>
      <w:pPr>
        <w:pBdr>
          <w:bottom w:val="single" w:color="DDDDDD" w:sz="4" w:space="2"/>
        </w:pBdr>
        <w:spacing w:after="40" w:before="40"/>
      </w:pPr>
    </w:p>
    <w:p>
      <w:pPr>
        <w:pStyle w:val="Heading1"/>
      </w:pPr>
      <w:r>
        <w:t xml:space="preserve">D. Analyst bylines</w:t>
      </w:r>
    </w:p>
    <w:p>
      <w:pPr>
        <w:spacing w:after="100"/>
      </w:pPr>
      <w:r>
        <w:rPr>
          <w:i/>
          <w:iCs/>
        </w:rPr>
        <w:t xml:space="preserve">Nakano #9 — drop-in</w:t>
      </w:r>
    </w:p>
    <w:p>
      <w:pPr>
        <w:spacing w:after="100"/>
      </w:pPr>
      <w:r>
        <w:t xml:space="preserve">Add </w:t>
      </w:r>
      <w:r>
        <w:rPr>
          <w:b/>
          <w:bCs/>
        </w:rPr>
        <w:t xml:space="preserve">Demetri Sevastopulo (FT)</w:t>
      </w:r>
      <w:r>
        <w:t xml:space="preserve"> and </w:t>
      </w:r>
      <w:r>
        <w:rPr>
          <w:b/>
          <w:bCs/>
        </w:rPr>
        <w:t xml:space="preserve">David Ignatius (WaPo)</w:t>
      </w:r>
      <w:r>
        <w:t xml:space="preserve"> to the flagged-byline list. As Nakano notes, these are columnists rather than Tokyo correspondents, so they are flagged for weight but not treated as on-the-ground reporting. No decision required.</w:t>
      </w:r>
    </w:p>
    <w:p>
      <w:pPr>
        <w:pBdr>
          <w:bottom w:val="single" w:color="DDDDDD" w:sz="4" w:space="2"/>
        </w:pBdr>
        <w:spacing w:after="40" w:before="40"/>
      </w:pPr>
    </w:p>
    <w:p>
      <w:pPr>
        <w:pStyle w:val="Heading1"/>
      </w:pPr>
      <w:r>
        <w:t xml:space="preserve">E. BOJ policy rate correction</w:t>
      </w:r>
    </w:p>
    <w:p>
      <w:pPr>
        <w:spacing w:after="100"/>
      </w:pPr>
      <w:r>
        <w:rPr>
          <w:i/>
          <w:iCs/>
        </w:rPr>
        <w:t xml:space="preserve">Govella #3 — factual fix, must-do</w:t>
      </w:r>
    </w:p>
    <w:p>
      <w:pPr>
        <w:spacing w:after="100"/>
      </w:pPr>
      <w:r>
        <w:t xml:space="preserve">Govella is correct that the sample showed </w:t>
      </w:r>
      <w:r>
        <w:rPr>
          <w:b/>
          <w:bCs/>
        </w:rPr>
        <w:t xml:space="preserve">0.50%</w:t>
      </w:r>
      <w:r>
        <w:t xml:space="preserve"> while the live BOJ short-term policy rate is now higher (</w:t>
      </w:r>
      <w:r>
        <w:rPr>
          <w:b/>
          <w:bCs/>
        </w:rPr>
        <w:t xml:space="preserve">~1.00%</w:t>
      </w:r>
      <w:r>
        <w:t xml:space="preserve"> — to be confirmed against the day's sources). Two-part fix: (1) update the fallback figure the pipeline uses when the live reading fails, and (2) confirm the live rate scrape is succeeding so we are never showing a stale hardcoded number. </w:t>
      </w:r>
      <w:r>
        <w:rPr>
          <w:i/>
          <w:iCs/>
        </w:rPr>
        <w:t xml:space="preserve">Decision:</w:t>
      </w:r>
      <w:r>
        <w:t xml:space="preserve"> confirm the current rate to hardcode as the fallback; we will verify against live sources regardless.</w:t>
      </w:r>
    </w:p>
    <w:p>
      <w:pPr>
        <w:pBdr>
          <w:bottom w:val="single" w:color="DDDDDD" w:sz="4" w:space="2"/>
        </w:pBdr>
        <w:spacing w:after="40" w:before="40"/>
      </w:pPr>
    </w:p>
    <w:p>
      <w:pPr>
        <w:pStyle w:val="Heading1"/>
      </w:pPr>
      <w:r>
        <w:t xml:space="preserve">F. Cabinet reference</w:t>
      </w:r>
    </w:p>
    <w:p>
      <w:pPr>
        <w:spacing w:after="100"/>
      </w:pPr>
      <w:r>
        <w:rPr>
          <w:i/>
          <w:iCs/>
        </w:rPr>
        <w:t xml:space="preserve">Nakano #11 — drop-in</w:t>
      </w:r>
    </w:p>
    <w:p>
      <w:pPr>
        <w:spacing w:after="100"/>
      </w:pPr>
      <w:r>
        <w:t xml:space="preserve">Nakano confirms the cabinet names are current. Two adjustments: </w:t>
      </w:r>
      <w:r>
        <w:rPr>
          <w:b/>
          <w:bCs/>
        </w:rPr>
        <w:t xml:space="preserve">Yoshimasa Hayashi</w:t>
      </w:r>
      <w:r>
        <w:t xml:space="preserve"> (Internal Affairs &amp; Communications) is already in the reference; add </w:t>
      </w:r>
      <w:r>
        <w:rPr>
          <w:b/>
          <w:bCs/>
        </w:rPr>
        <w:t xml:space="preserve">Kimi Onoda</w:t>
      </w:r>
      <w:r>
        <w:t xml:space="preserve">, Minister for Economic Security — noting she also carries the "foreign nationals" portfolio. No decision required.</w:t>
      </w:r>
    </w:p>
    <w:p>
      <w:pPr>
        <w:pBdr>
          <w:bottom w:val="single" w:color="DDDDDD" w:sz="4" w:space="2"/>
        </w:pBdr>
        <w:spacing w:after="40" w:before="40"/>
      </w:pPr>
    </w:p>
    <w:p>
      <w:pPr>
        <w:pStyle w:val="Heading1"/>
      </w:pPr>
      <w:r>
        <w:t xml:space="preserve">G. Targeted coverage: rare earths and the $550B framework</w:t>
      </w:r>
    </w:p>
    <w:p>
      <w:pPr>
        <w:spacing w:after="100"/>
      </w:pPr>
      <w:r>
        <w:rPr>
          <w:i/>
          <w:iCs/>
        </w:rPr>
        <w:t xml:space="preserve">Govella #4, #7 — prompt steering</w:t>
      </w:r>
    </w:p>
    <w:p>
      <w:pPr>
        <w:spacing w:after="100"/>
      </w:pPr>
      <w:r>
        <w:t xml:space="preserve">Neither needs a new source; both are instructions to make sure existing coverage surfaces:</w:t>
      </w:r>
    </w:p>
    <w:p>
      <w:pPr>
        <w:pStyle w:val="ListParagraph"/>
        <w:numPr>
          <w:ilvl w:val="0"/>
          <w:numId w:val="2"/>
        </w:numPr>
        <w:spacing w:after="40"/>
      </w:pPr>
      <w:r>
        <w:rPr>
          <w:b/>
          <w:bCs/>
        </w:rPr>
        <w:t xml:space="preserve">Rare earths / critical minerals</w:t>
      </w:r>
      <w:r>
        <w:t xml:space="preserve"> added as an explicit signal in the Regional Pressure Watch, where China's mineral leverage properly belongs.</w:t>
      </w:r>
    </w:p>
    <w:p>
      <w:pPr>
        <w:pStyle w:val="ListParagraph"/>
        <w:numPr>
          <w:ilvl w:val="0"/>
          <w:numId w:val="2"/>
        </w:numPr>
        <w:spacing w:after="40"/>
      </w:pPr>
      <w:r>
        <w:rPr>
          <w:b/>
          <w:bCs/>
        </w:rPr>
        <w:t xml:space="preserve">The $550 billion US-Japan strategic investment framework</w:t>
      </w:r>
      <w:r>
        <w:t xml:space="preserve"> flagged for the Business &amp; Economy and trade sections. This dovetails with the trade rewrite in §H below.</w:t>
      </w:r>
    </w:p>
    <w:p>
      <w:pPr>
        <w:spacing w:after="100"/>
      </w:pPr>
      <w:r>
        <w:rPr>
          <w:i/>
          <w:iCs/>
        </w:rPr>
        <w:t xml:space="preserve">Honest limit:</w:t>
      </w:r>
      <w:r>
        <w:t xml:space="preserve"> our source-or-skip rule means we can guarantee we never </w:t>
      </w:r>
      <w:r>
        <w:rPr>
          <w:i/>
          <w:iCs/>
        </w:rPr>
        <w:t xml:space="preserve">miss</w:t>
      </w:r>
      <w:r>
        <w:t xml:space="preserve"> one of these stories when the day's feeds carry it — we cannot manufacture one on a quiet day. That is the correct, non-fabricating behavior. No decision required.</w:t>
      </w:r>
    </w:p>
    <w:p>
      <w:pPr>
        <w:pBdr>
          <w:bottom w:val="single" w:color="DDDDDD" w:sz="4" w:space="2"/>
        </w:pBdr>
        <w:spacing w:after="40" w:before="40"/>
      </w:pPr>
    </w:p>
    <w:p>
      <w:pPr>
        <w:pStyle w:val="Heading1"/>
      </w:pPr>
      <w:r>
        <w:t xml:space="preserve">H. US-Japan Alliance &amp; Trade — figures rewrite</w:t>
      </w:r>
    </w:p>
    <w:p>
      <w:pPr>
        <w:spacing w:after="100"/>
      </w:pPr>
      <w:r>
        <w:rPr>
          <w:i/>
          <w:iCs/>
        </w:rPr>
        <w:t xml:space="preserve">Nakano #12 — substantive, high value</w:t>
      </w:r>
    </w:p>
    <w:p>
      <w:pPr>
        <w:spacing w:after="100"/>
      </w:pPr>
      <w:r>
        <w:t xml:space="preserve">Nakano's detailed corrections update our now-stale trade/alliance baselines. To be encoded verbatim:</w:t>
      </w:r>
    </w:p>
    <w:p>
      <w:pPr>
        <w:spacing w:after="100"/>
      </w:pPr>
      <w:r>
        <w:rPr>
          <w:b/>
          <w:bCs/>
        </w:rPr>
        <w:t xml:space="preserve">Tariffs</w:t>
      </w:r>
    </w:p>
    <w:p>
      <w:pPr>
        <w:pStyle w:val="ListParagraph"/>
        <w:numPr>
          <w:ilvl w:val="0"/>
          <w:numId w:val="2"/>
        </w:numPr>
        <w:spacing w:after="40"/>
      </w:pPr>
      <w:r>
        <w:t xml:space="preserve">Autos: </w:t>
      </w:r>
      <w:r>
        <w:rPr>
          <w:b/>
          <w:bCs/>
        </w:rPr>
        <w:t xml:space="preserve">15%, inclusive of MFN</w:t>
      </w:r>
      <w:r>
        <w:t xml:space="preserve">, under the 2025 US-Japan agreement (not the old 25%).</w:t>
      </w:r>
    </w:p>
    <w:p>
      <w:pPr>
        <w:pStyle w:val="ListParagraph"/>
        <w:numPr>
          <w:ilvl w:val="0"/>
          <w:numId w:val="2"/>
        </w:numPr>
        <w:spacing w:after="40"/>
      </w:pPr>
      <w:r>
        <w:t xml:space="preserve">Section 122: </w:t>
      </w:r>
      <w:r>
        <w:rPr>
          <w:b/>
          <w:bCs/>
        </w:rPr>
        <w:t xml:space="preserve">10% surcharge through July 24, 2026</w:t>
      </w:r>
      <w:r>
        <w:t xml:space="preserve">, </w:t>
      </w:r>
      <w:r>
        <w:rPr>
          <w:b/>
          <w:bCs/>
        </w:rPr>
        <w:t xml:space="preserve">not stacked</w:t>
      </w:r>
      <w:r>
        <w:t xml:space="preserve"> on Section 232, </w:t>
      </w:r>
      <w:r>
        <w:rPr>
          <w:b/>
          <w:bCs/>
        </w:rPr>
        <w:t xml:space="preserve">autos excluded</w:t>
      </w:r>
      <w:r>
        <w:t xml:space="preserve"> — citing the June 2026 proclamation basis.</w:t>
      </w:r>
    </w:p>
    <w:p>
      <w:pPr>
        <w:pStyle w:val="ListParagraph"/>
        <w:numPr>
          <w:ilvl w:val="0"/>
          <w:numId w:val="2"/>
        </w:numPr>
        <w:spacing w:after="40"/>
      </w:pPr>
      <w:r>
        <w:t xml:space="preserve">Steel &amp; aluminum: </w:t>
      </w:r>
      <w:r>
        <w:rPr>
          <w:b/>
          <w:bCs/>
        </w:rPr>
        <w:t xml:space="preserve">50%</w:t>
      </w:r>
      <w:r>
        <w:t xml:space="preserve"> remains the core Section 232 rate.</w:t>
      </w:r>
    </w:p>
    <w:p>
      <w:pPr>
        <w:pStyle w:val="ListParagraph"/>
        <w:numPr>
          <w:ilvl w:val="0"/>
          <w:numId w:val="2"/>
        </w:numPr>
        <w:spacing w:after="40"/>
      </w:pPr>
      <w:r>
        <w:rPr>
          <w:b/>
          <w:bCs/>
        </w:rPr>
        <w:t xml:space="preserve">New optional "Section 301 Watch":</w:t>
      </w:r>
      <w:r>
        <w:t xml:space="preserve"> proposed 12.5% forced-labor tariff; excess-capacity investigation pending.</w:t>
      </w:r>
    </w:p>
    <w:p>
      <w:pPr>
        <w:pStyle w:val="ListParagraph"/>
        <w:numPr>
          <w:ilvl w:val="0"/>
          <w:numId w:val="2"/>
        </w:numPr>
        <w:spacing w:after="40"/>
      </w:pPr>
      <w:r>
        <w:rPr>
          <w:b/>
          <w:bCs/>
        </w:rPr>
        <w:t xml:space="preserve">Remove</w:t>
      </w:r>
      <w:r>
        <w:t xml:space="preserve"> the outdated line "Trade deal: negotiated framework reported; auto relief status unconfirmed — verify" — now resolved.</w:t>
      </w:r>
    </w:p>
    <w:p>
      <w:pPr>
        <w:spacing w:after="100"/>
      </w:pPr>
      <w:r>
        <w:rPr>
          <w:b/>
          <w:bCs/>
        </w:rPr>
        <w:t xml:space="preserve">Alliance dashboard</w:t>
      </w:r>
    </w:p>
    <w:p>
      <w:pPr>
        <w:pStyle w:val="ListParagraph"/>
        <w:numPr>
          <w:ilvl w:val="0"/>
          <w:numId w:val="2"/>
        </w:numPr>
        <w:spacing w:after="40"/>
      </w:pPr>
      <w:r>
        <w:t xml:space="preserve">Defense spending: </w:t>
      </w:r>
      <w:r>
        <w:rPr>
          <w:b/>
          <w:bCs/>
        </w:rPr>
        <w:t xml:space="preserve">2% of GDP brought forward to JFY2025</w:t>
      </w:r>
      <w:r>
        <w:t xml:space="preserve"> (ended March 31, 2026), with the </w:t>
      </w:r>
      <w:r>
        <w:rPr>
          <w:b/>
          <w:bCs/>
        </w:rPr>
        <w:t xml:space="preserve">2026 Three Strategic Documents review</w:t>
      </w:r>
      <w:r>
        <w:t xml:space="preserve"> noted — replacing the older "by FY2027" language.</w:t>
      </w:r>
    </w:p>
    <w:p>
      <w:pPr>
        <w:pStyle w:val="ListParagraph"/>
        <w:numPr>
          <w:ilvl w:val="0"/>
          <w:numId w:val="2"/>
        </w:numPr>
        <w:spacing w:after="40"/>
      </w:pPr>
      <w:r>
        <w:t xml:space="preserve">Article 5 / Senkakus: affirmed — </w:t>
      </w:r>
      <w:r>
        <w:rPr>
          <w:b/>
          <w:bCs/>
        </w:rPr>
        <w:t xml:space="preserve">kept</w:t>
      </w:r>
      <w:r>
        <w:t xml:space="preserve"> under the dashboard (per Nakano's question).</w:t>
      </w:r>
    </w:p>
    <w:p>
      <w:pPr>
        <w:pStyle w:val="ListParagraph"/>
        <w:numPr>
          <w:ilvl w:val="0"/>
          <w:numId w:val="2"/>
        </w:numPr>
        <w:spacing w:after="40"/>
      </w:pPr>
      <w:r>
        <w:t xml:space="preserve">Host-nation support: SMA </w:t>
      </w:r>
      <w:r>
        <w:rPr>
          <w:b/>
          <w:bCs/>
        </w:rPr>
        <w:t xml:space="preserve">through March 31, 2027, ~¥211bn/year</w:t>
      </w:r>
      <w:r>
        <w:t xml:space="preserve">.</w:t>
      </w:r>
    </w:p>
    <w:p>
      <w:pPr>
        <w:pStyle w:val="ListParagraph"/>
        <w:numPr>
          <w:ilvl w:val="0"/>
          <w:numId w:val="2"/>
        </w:numPr>
        <w:spacing w:after="40"/>
      </w:pPr>
      <w:r>
        <w:t xml:space="preserve">USFJ: Henoko/Futenma realignment </w:t>
      </w:r>
      <w:r>
        <w:rPr>
          <w:b/>
          <w:bCs/>
        </w:rPr>
        <w:t xml:space="preserve">ongoing</w:t>
      </w:r>
      <w:r>
        <w:t xml:space="preserve">.</w:t>
      </w:r>
    </w:p>
    <w:p>
      <w:pPr>
        <w:spacing w:after="100"/>
      </w:pPr>
      <w:r>
        <w:t xml:space="preserve">These are all reference-text changes — no new scraping. </w:t>
      </w:r>
      <w:r>
        <w:rPr>
          <w:i/>
          <w:iCs/>
        </w:rPr>
        <w:t xml:space="preserve">Caution worth stating:</w:t>
      </w:r>
      <w:r>
        <w:t xml:space="preserve"> several are dated specifics (a surcharge "through July 2026," an SMA to March 2027) and will go stale exactly as the old figures did. We encode Nakano's numbers as the new baseline and keep the standing guardrail that live news overrides the baseline and anything uncertain is marked "verify." </w:t>
      </w:r>
      <w:r>
        <w:rPr>
          <w:i/>
          <w:iCs/>
        </w:rPr>
        <w:t xml:space="preserve">Decision:</w:t>
      </w:r>
      <w:r>
        <w:t xml:space="preserve"> green-light to transcribe as-is, or flag any figure you'd like re-verified against live sources first.</w:t>
      </w:r>
    </w:p>
    <w:p>
      <w:pPr>
        <w:pBdr>
          <w:bottom w:val="single" w:color="DDDDDD" w:sz="4" w:space="2"/>
        </w:pBdr>
        <w:spacing w:after="40" w:before="40"/>
      </w:pPr>
    </w:p>
    <w:p>
      <w:pPr>
        <w:pStyle w:val="Heading1"/>
      </w:pPr>
      <w:r>
        <w:t xml:space="preserve">I. Public Sentiment / polling — the one open decision</w:t>
      </w:r>
    </w:p>
    <w:p>
      <w:pPr>
        <w:spacing w:after="100"/>
      </w:pPr>
      <w:r>
        <w:rPr>
          <w:i/>
          <w:iCs/>
        </w:rPr>
        <w:t xml:space="preserve">Govella #5, #6 · Nakano #10</w:t>
      </w:r>
    </w:p>
    <w:p>
      <w:pPr>
        <w:spacing w:after="100"/>
      </w:pPr>
      <w:r>
        <w:t xml:space="preserve">This is the only item with a genuine trade-off, because the two reviewers emphasize different things:</w:t>
      </w:r>
    </w:p>
    <w:p>
      <w:pPr>
        <w:pStyle w:val="ListParagraph"/>
        <w:numPr>
          <w:ilvl w:val="0"/>
          <w:numId w:val="2"/>
        </w:numPr>
        <w:spacing w:after="40"/>
      </w:pPr>
      <w:r>
        <w:rPr>
          <w:b/>
          <w:bCs/>
        </w:rPr>
        <w:t xml:space="preserve">Govella (#5):</w:t>
      </w:r>
      <w:r>
        <w:t xml:space="preserve"> Can it display </w:t>
      </w:r>
      <w:r>
        <w:rPr>
          <w:b/>
          <w:bCs/>
        </w:rPr>
        <w:t xml:space="preserve">multiple polls</w:t>
      </w:r>
      <w:r>
        <w:t xml:space="preserve">? "There are often differences."</w:t>
      </w:r>
    </w:p>
    <w:p>
      <w:pPr>
        <w:pStyle w:val="ListParagraph"/>
        <w:numPr>
          <w:ilvl w:val="0"/>
          <w:numId w:val="2"/>
        </w:numPr>
        <w:spacing w:after="40"/>
      </w:pPr>
      <w:r>
        <w:rPr>
          <w:b/>
          <w:bCs/>
        </w:rPr>
        <w:t xml:space="preserve">Govella (#6):</w:t>
      </w:r>
      <w:r>
        <w:t xml:space="preserve"> Observing Japan runs a </w:t>
      </w:r>
      <w:r>
        <w:rPr>
          <w:b/>
          <w:bCs/>
        </w:rPr>
        <w:t xml:space="preserve">poll aggregator</w:t>
      </w:r>
      <w:r>
        <w:t xml:space="preserve"> worth linking.</w:t>
      </w:r>
    </w:p>
    <w:p>
      <w:pPr>
        <w:pStyle w:val="ListParagraph"/>
        <w:numPr>
          <w:ilvl w:val="0"/>
          <w:numId w:val="2"/>
        </w:numPr>
        <w:spacing w:after="40"/>
      </w:pPr>
      <w:r>
        <w:rPr>
          <w:b/>
          <w:bCs/>
        </w:rPr>
        <w:t xml:space="preserve">Nakano (#10):</w:t>
      </w:r>
      <w:r>
        <w:t xml:space="preserve"> Pull figures from dedicated poll sites (NHK, Nikkei) — but </w:t>
      </w:r>
      <w:r>
        <w:rPr>
          <w:b/>
          <w:bCs/>
        </w:rPr>
        <w:t xml:space="preserve">"do not want to overcomplicate."</w:t>
      </w:r>
    </w:p>
    <w:p>
      <w:pPr>
        <w:spacing w:after="100"/>
      </w:pPr>
      <w:r>
        <w:t xml:space="preserve">Today the digest shows a single poll under a strict same-pollster/same-date rule. Honoring "show multiple polls" means changing the data model to hold two or three polls and rendering them side by side (e.g. </w:t>
      </w:r>
      <w:r>
        <w:rPr>
          <w:i/>
          <w:iCs/>
        </w:rPr>
        <w:t xml:space="preserve">NHK 46% · Jiji 41% · Yomiuri 44%</w:t>
      </w:r>
      <w:r>
        <w:t xml:space="preserve">). The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b/>
                <w:bCs/>
                <w:sz w:val="18"/>
                <w:szCs w:val="18"/>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1 — Multi-poll row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2–3 pollsters side by side; collapses to one on light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Moderate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Fully honors "show differences"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2 — One poll + aggregator 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Keep single headline poll; add standing Observing Japan tracker 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Low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Simplest; doesn't literally show multiple numbers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bCs/>
              </w:rPr>
              <w:t xml:space="preserve">3 — Both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Multi-poll row </w:t>
            </w:r>
            <w:r>
              <w:rPr>
                <w:i/>
                <w:iCs/>
              </w:rPr>
              <w:t xml:space="preserve">and</w:t>
            </w:r>
            <w:r>
              <w:t xml:space="preserve"> aggregator 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Higher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tcPr>
          <w:p>
            <w:r>
              <w:t xml:space="preserve">Most complete</w:t>
            </w:r>
          </w:p>
        </w:tc>
      </w:tr>
    </w:tbl>
    <w:p>
      <w:pPr>
        <w:spacing w:after="80"/>
      </w:pPr>
    </w:p>
    <w:p>
      <w:pPr>
        <w:spacing w:after="100"/>
      </w:pPr>
      <w:r>
        <w:t xml:space="preserve">On Nakano's dedicated-site suggestion: the NHK and Nikkei approval pages are data/JavaScript pages, not standard feeds, so scraping them reliably is real work and can fail silently. </w:t>
      </w:r>
      <w:r>
        <w:rPr>
          <w:b/>
          <w:bCs/>
        </w:rPr>
        <w:t xml:space="preserve">Recommendation:</w:t>
      </w:r>
      <w:r>
        <w:t xml:space="preserve"> do </w:t>
      </w:r>
      <w:r>
        <w:rPr>
          <w:i/>
          <w:iCs/>
        </w:rPr>
        <w:t xml:space="preserve">not</w:t>
      </w:r>
      <w:r>
        <w:t xml:space="preserve"> hard-scrape those; rely on the pollster stories we already collect (NHK/Jiji/Yomiuri/Asahi/Kyodo all publish poll coverage we catch), and add the Observing Japan aggregator as a </w:t>
      </w:r>
      <w:r>
        <w:rPr>
          <w:b/>
          <w:bCs/>
        </w:rPr>
        <w:t xml:space="preserve">link</w:t>
      </w:r>
      <w:r>
        <w:t xml:space="preserve">. That honors "don't overcomplicate."</w:t>
      </w:r>
    </w:p>
    <w:p>
      <w:pPr>
        <w:spacing w:after="100"/>
      </w:pPr>
      <w:r>
        <w:rPr>
          <w:b/>
          <w:bCs/>
        </w:rPr>
        <w:t xml:space="preserve">Our recommendation: Option 1 plus the aggregator link</w:t>
      </w:r>
      <w:r>
        <w:t xml:space="preserve"> — show multiple polls when the day's feeds carry them, plus a persistent Observing Japan tracker link, and no fragile dedicated-site scraping.</w:t>
      </w:r>
    </w:p>
    <w:p>
      <w:pPr>
        <w:pBdr>
          <w:bottom w:val="single" w:color="DDDDDD" w:sz="4" w:space="2"/>
        </w:pBdr>
        <w:spacing w:after="40" w:before="40"/>
      </w:pPr>
    </w:p>
    <w:p>
      <w:pPr>
        <w:pStyle w:val="Heading1"/>
      </w:pPr>
      <w:r>
        <w:t xml:space="preserve">What we need from you</w:t>
      </w:r>
    </w:p>
    <w:p>
      <w:pPr>
        <w:pStyle w:val="ListParagraph"/>
        <w:numPr>
          <w:ilvl w:val="0"/>
          <w:numId w:val="3"/>
        </w:numPr>
        <w:spacing w:after="40"/>
      </w:pPr>
      <w:r>
        <w:rPr>
          <w:b/>
          <w:bCs/>
        </w:rPr>
        <w:t xml:space="preserve">Polling display (§I):</w:t>
      </w:r>
      <w:r>
        <w:t xml:space="preserve"> confirm Option 1 + aggregator link, or pick another.</w:t>
      </w:r>
    </w:p>
    <w:p>
      <w:pPr>
        <w:pStyle w:val="ListParagraph"/>
        <w:numPr>
          <w:ilvl w:val="0"/>
          <w:numId w:val="3"/>
        </w:numPr>
        <w:spacing w:after="40"/>
      </w:pPr>
      <w:r>
        <w:rPr>
          <w:b/>
          <w:bCs/>
        </w:rPr>
        <w:t xml:space="preserve">BOJ rate (§E):</w:t>
      </w:r>
      <w:r>
        <w:t xml:space="preserve"> confirm the current policy rate for the fallback (we verify live regardless).</w:t>
      </w:r>
    </w:p>
    <w:p>
      <w:pPr>
        <w:pStyle w:val="ListParagraph"/>
        <w:numPr>
          <w:ilvl w:val="0"/>
          <w:numId w:val="3"/>
        </w:numPr>
        <w:spacing w:after="40"/>
      </w:pPr>
      <w:r>
        <w:rPr>
          <w:b/>
          <w:bCs/>
        </w:rPr>
        <w:t xml:space="preserve">Trade figures (§H):</w:t>
      </w:r>
      <w:r>
        <w:t xml:space="preserve"> green-light transcribing Nakano's numbers as-is, or flag any to re-verify first.</w:t>
      </w:r>
    </w:p>
    <w:p>
      <w:pPr>
        <w:spacing w:after="100"/>
      </w:pPr>
      <w:r>
        <w:t xml:space="preserve">Everything else has a clear default. On your go-ahead we will ship Batches 1 and 2 immediately and hold Batch 3 for the polling decision.</w:t>
      </w:r>
    </w:p>
    <w:p>
      <w:pPr>
        <w:spacing w:after="100"/>
      </w:pPr>
      <w:r>
        <w:rPr>
          <w:i/>
          <w:iCs/>
        </w:rPr>
        <w:t xml:space="preserve">Prepared by Andy Lim · CSIS Japan Chair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Daily Japan Digest — Setup &amp; Operations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40" w:before="260"/>
      <w:outlineLvl w:val="0"/>
    </w:pPr>
    <w:rPr>
      <w:rFonts w:ascii="Arial" w:cs="Arial" w:eastAsia="Arial" w:hAnsi="Arial"/>
      <w:b/>
      <w:bCs/>
      <w:color w:val="1B2A4A"/>
      <w:sz w:val="28"/>
      <w:szCs w:val="28"/>
    </w:rPr>
  </w:style>
  <w:style w:type="paragraph" w:styleId="Heading2">
    <w:name w:val="Heading 2"/>
    <w:basedOn w:val="Normal"/>
    <w:next w:val="Normal"/>
    <w:qFormat/>
    <w:pPr>
      <w:spacing w:after="90" w:before="180"/>
      <w:outlineLvl w:val="1"/>
    </w:pPr>
    <w:rPr>
      <w:rFonts w:ascii="Arial" w:cs="Arial" w:eastAsia="Arial" w:hAnsi="Arial"/>
      <w:b/>
      <w:bCs/>
      <w:color w:val="2C3E5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2026-07-15T16:48:38.207Z</dcterms:created>
  <dcterms:modified xsi:type="dcterms:W3CDTF">2026-07-15T16:48:38.208Z</dcterms:modified>
</cp:coreProperties>
</file>

<file path=docProps/custom.xml><?xml version="1.0" encoding="utf-8"?>
<Properties xmlns="http://schemas.openxmlformats.org/officeDocument/2006/custom-properties" xmlns:vt="http://schemas.openxmlformats.org/officeDocument/2006/docPropsVTypes"/>
</file>