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A"/>
          <w:sz w:val="36"/>
          <w:szCs w:val="36"/>
        </w:rPr>
        <w:t xml:space="preserve">Memo — Japan Chair Review: Proposed Changes to the Daily Japan Digest</w:t>
      </w:r>
    </w:p>
    <w:p>
      <w:pPr>
        <w:pBdr>
          <w:bottom w:val="single" w:color="2E75B6" w:sz="8" w:space="4"/>
        </w:pBdr>
        <w:spacing w:after="160"/>
      </w:pPr>
    </w:p>
    <w:p>
      <w:pPr>
        <w:spacing w:after="100"/>
      </w:pPr>
      <w:r>
        <w:rPr>
          <w:b/>
          <w:bCs/>
        </w:rPr>
        <w:t xml:space="preserve">To:</w:t>
      </w:r>
      <w:r>
        <w:t xml:space="preserve"> CSIS Japan Chair</w:t>
      </w:r>
    </w:p>
    <w:p>
      <w:pPr>
        <w:spacing w:after="100"/>
      </w:pPr>
      <w:r>
        <w:rPr>
          <w:b/>
          <w:bCs/>
        </w:rPr>
        <w:t xml:space="preserve">From:</w:t>
      </w:r>
      <w:r>
        <w:t xml:space="preserve"> Andy Lim</w:t>
      </w:r>
    </w:p>
    <w:p>
      <w:pPr>
        <w:spacing w:after="100"/>
      </w:pPr>
      <w:r>
        <w:rPr>
          <w:b/>
          <w:bCs/>
        </w:rPr>
        <w:t xml:space="preserve">Re:</w:t>
      </w:r>
      <w:r>
        <w:t xml:space="preserve"> Implementation plan for reviewer comments on the Daily Japan Digest setup</w:t>
      </w:r>
    </w:p>
    <w:p>
      <w:pPr>
        <w:spacing w:after="100"/>
      </w:pPr>
      <w:r>
        <w:rPr>
          <w:b/>
          <w:bCs/>
        </w:rPr>
        <w:t xml:space="preserve">Reviewers:</w:t>
      </w:r>
      <w:r>
        <w:t xml:space="preserve"> Kristi Govella · Yuko Nakano · Nicholas Szechenyi</w:t>
      </w:r>
    </w:p>
    <w:p>
      <w:pPr>
        <w:spacing w:after="100"/>
      </w:pPr>
      <w:r>
        <w:rPr>
          <w:b/>
          <w:bCs/>
        </w:rPr>
        <w:t xml:space="preserve">Comments received:</w:t>
      </w:r>
      <w:r>
        <w:t xml:space="preserve"> 14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Summary</w:t>
      </w:r>
    </w:p>
    <w:p>
      <w:pPr>
        <w:spacing w:after="100"/>
      </w:pPr>
      <w:r>
        <w:t xml:space="preserve">Thank you for the review. All 14 comments have been collected and mapped to specific changes in the pipeline. </w:t>
      </w:r>
      <w:r>
        <w:rPr>
          <w:b/>
          <w:bCs/>
        </w:rPr>
        <w:t xml:space="preserve">Thirteen of the fourteen are now implemented and pushed</w:t>
      </w:r>
      <w:r>
        <w:t xml:space="preserve"> — the ten drop-in source/factual changes (Batch 1) and the three coverage/accuracy changes (Batch 2: rare-earths, the $550B framework, and the trade/alliance figures rewrite). The </w:t>
      </w:r>
      <w:r>
        <w:rPr>
          <w:b/>
          <w:bCs/>
        </w:rPr>
        <w:t xml:space="preserve">one</w:t>
      </w:r>
      <w:r>
        <w:t xml:space="preserve"> remaining item is how to display cabinet-approval polling, which involves a genuine design choice where two reviewers pointed in slightly different directions — that is the only item still needing a decision before we build it.</w:t>
      </w:r>
    </w:p>
    <w:p>
      <w:pPr>
        <w:spacing w:after="100"/>
      </w:pPr>
      <w:r>
        <w:t xml:space="preserve">Sequencing and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1 — Drop-ins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New feeds, journals, regional press, analysts; remove USIP; add Onoda; fix BOJ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#1, 2, 3, 8, 9, 11, 13, 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2 — Coverage &amp;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Rare-earths + $550B targeting; US-Japan trade/alliance rewrite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#4, 7,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3 — Polling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Multiple polls / aggregator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#5, 6,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Needs a decision (see §I)</w:t>
            </w:r>
          </w:p>
        </w:tc>
      </w:tr>
    </w:tbl>
    <w:p>
      <w:pPr>
        <w:spacing w:after="80"/>
      </w:pP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A. New think-tank feeds (Tier 2) — </w:t>
      </w:r>
      <w:r>
        <w:rPr>
          <w:b/>
          <w:bCs/>
        </w:rPr>
        <w:t xml:space="preserve">Done</w:t>
      </w:r>
    </w:p>
    <w:p>
      <w:pPr>
        <w:spacing w:after="100"/>
      </w:pPr>
      <w:r>
        <w:rPr>
          <w:i/>
          <w:iCs/>
        </w:rPr>
        <w:t xml:space="preserve">Govella #1 · Szechenyi #14 · Govella #8 — drop-in, low risk</w:t>
      </w:r>
    </w:p>
    <w:p>
      <w:pPr>
        <w:spacing w:after="100"/>
      </w:pPr>
      <w:r>
        <w:rPr>
          <w:b/>
          <w:bCs/>
        </w:rPr>
        <w:t xml:space="preserve">Add (Govella):</w:t>
      </w:r>
      <w:r>
        <w:t xml:space="preserve"> Pacific Forum, Congressional Research Service, Asia Policy Point, Japan Economy Watch (Richard Katz), VUB/CSDS Japan Chair.</w:t>
      </w:r>
    </w:p>
    <w:p>
      <w:pPr>
        <w:spacing w:after="100"/>
      </w:pPr>
      <w:r>
        <w:rPr>
          <w:b/>
          <w:bCs/>
        </w:rPr>
        <w:t xml:space="preserve">Add (Szechenyi — survey/opinion-data institutions):</w:t>
      </w:r>
      <w:r>
        <w:t xml:space="preserve"> ASAN Institute, ISEAS–Yusof Ishak Institute, Genron NPO, Chicago Council on Global Affairs, Pew Research Center.</w:t>
      </w:r>
    </w:p>
    <w:p>
      <w:pPr>
        <w:spacing w:after="100"/>
      </w:pPr>
      <w:r>
        <w:rPr>
          <w:b/>
          <w:bCs/>
        </w:rPr>
        <w:t xml:space="preserve">Remove (Govella):</w:t>
      </w:r>
      <w:r>
        <w:t xml:space="preserve"> USIP.</w:t>
      </w:r>
    </w:p>
    <w:p>
      <w:pPr>
        <w:spacing w:after="100"/>
      </w:pPr>
      <w:r>
        <w:t xml:space="preserve">Each is a one-line change to the feed list, mirrored in the public source inventory. </w:t>
      </w:r>
      <w:r>
        <w:rPr>
          <w:i/>
          <w:iCs/>
        </w:rPr>
        <w:t xml:space="preserve">Caveat:</w:t>
      </w:r>
      <w:r>
        <w:t xml:space="preserve"> a few of these (CRS, the Katz Substack, Genron NPO, CSDS) are not always well-indexed by the news aggregator we query; where hit-rates are low in the first runs we will switch to the outlet's direct feed. No decision required.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B. New academic journals (Tier 3) — </w:t>
      </w:r>
      <w:r>
        <w:rPr>
          <w:b/>
          <w:bCs/>
        </w:rPr>
        <w:t xml:space="preserve">Done</w:t>
      </w:r>
    </w:p>
    <w:p>
      <w:pPr>
        <w:spacing w:after="100"/>
      </w:pPr>
      <w:r>
        <w:rPr>
          <w:i/>
          <w:iCs/>
        </w:rPr>
        <w:t xml:space="preserve">Govella #2 — drop-in</w:t>
      </w:r>
    </w:p>
    <w:p>
      <w:pPr>
        <w:spacing w:after="100"/>
      </w:pPr>
      <w:r>
        <w:t xml:space="preserve">Add: Asia Policy (A), Asia-Pacific Journal: Japan Focus (B), Asian Security (B), International Relations of the Asia-Pacific (A), The Pacific Review (A), Contemporary Japan (B), Japan Review (B). One line each. No decision required.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C. Regional press — </w:t>
      </w:r>
      <w:r>
        <w:rPr>
          <w:b/>
          <w:bCs/>
        </w:rPr>
        <w:t xml:space="preserve">Done</w:t>
      </w:r>
    </w:p>
    <w:p>
      <w:pPr>
        <w:spacing w:after="100"/>
      </w:pPr>
      <w:r>
        <w:rPr>
          <w:i/>
          <w:iCs/>
        </w:rPr>
        <w:t xml:space="preserve">Szechenyi #13 — drop-in</w:t>
      </w:r>
    </w:p>
    <w:p>
      <w:pPr>
        <w:spacing w:after="100"/>
      </w:pPr>
      <w:r>
        <w:t xml:space="preserve">Broaden allied/regional reaction with </w:t>
      </w:r>
      <w:r>
        <w:rPr>
          <w:b/>
          <w:bCs/>
        </w:rPr>
        <w:t xml:space="preserve">The Australian</w:t>
      </w:r>
      <w:r>
        <w:t xml:space="preserve"> (Australia), </w:t>
      </w:r>
      <w:r>
        <w:rPr>
          <w:b/>
          <w:bCs/>
        </w:rPr>
        <w:t xml:space="preserve">Indian Express</w:t>
      </w:r>
      <w:r>
        <w:t xml:space="preserve"> (India), and </w:t>
      </w:r>
      <w:r>
        <w:rPr>
          <w:b/>
          <w:bCs/>
        </w:rPr>
        <w:t xml:space="preserve">Rappler</w:t>
      </w:r>
      <w:r>
        <w:t xml:space="preserve"> (Philippines), alongside the existing Korea/China/Russia reaction feeds. No decision required.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D. Analyst bylines — </w:t>
      </w:r>
      <w:r>
        <w:rPr>
          <w:b/>
          <w:bCs/>
        </w:rPr>
        <w:t xml:space="preserve">Done</w:t>
      </w:r>
    </w:p>
    <w:p>
      <w:pPr>
        <w:spacing w:after="100"/>
      </w:pPr>
      <w:r>
        <w:rPr>
          <w:i/>
          <w:iCs/>
        </w:rPr>
        <w:t xml:space="preserve">Nakano #9 — drop-in</w:t>
      </w:r>
    </w:p>
    <w:p>
      <w:pPr>
        <w:spacing w:after="100"/>
      </w:pPr>
      <w:r>
        <w:t xml:space="preserve">Add </w:t>
      </w:r>
      <w:r>
        <w:rPr>
          <w:b/>
          <w:bCs/>
        </w:rPr>
        <w:t xml:space="preserve">Demetri Sevastopulo (FT)</w:t>
      </w:r>
      <w:r>
        <w:t xml:space="preserve"> and </w:t>
      </w:r>
      <w:r>
        <w:rPr>
          <w:b/>
          <w:bCs/>
        </w:rPr>
        <w:t xml:space="preserve">David Ignatius (WaPo)</w:t>
      </w:r>
      <w:r>
        <w:t xml:space="preserve"> to the flagged-byline list. As Nakano notes, these are columnists rather than Tokyo correspondents, so they are flagged for weight but not treated as on-the-ground reporting. No decision required.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E. BOJ policy rate correction — </w:t>
      </w:r>
      <w:r>
        <w:rPr>
          <w:b/>
          <w:bCs/>
        </w:rPr>
        <w:t xml:space="preserve">Done</w:t>
      </w:r>
    </w:p>
    <w:p>
      <w:pPr>
        <w:spacing w:after="100"/>
      </w:pPr>
      <w:r>
        <w:rPr>
          <w:i/>
          <w:iCs/>
        </w:rPr>
        <w:t xml:space="preserve">Govella #3 — factual fix, must-do</w:t>
      </w:r>
    </w:p>
    <w:p>
      <w:pPr>
        <w:spacing w:after="100"/>
      </w:pPr>
      <w:r>
        <w:t xml:space="preserve">Dr. Govella is correct that the sample showed </w:t>
      </w:r>
      <w:r>
        <w:rPr>
          <w:b/>
          <w:bCs/>
        </w:rPr>
        <w:t xml:space="preserve">0.50%</w:t>
      </w:r>
      <w:r>
        <w:t xml:space="preserve"> while the live BOJ short-term policy rate is now higher. </w:t>
      </w:r>
      <w:r>
        <w:rPr>
          <w:b/>
          <w:bCs/>
        </w:rPr>
        <w:t xml:space="preserve">Implemented:</w:t>
      </w:r>
      <w:r>
        <w:t xml:space="preserve"> the fallback figure is corrected to </w:t>
      </w:r>
      <w:r>
        <w:rPr>
          <w:b/>
          <w:bCs/>
        </w:rPr>
        <w:t xml:space="preserve">1.00%</w:t>
      </w:r>
      <w:r>
        <w:t xml:space="preserve">, and the live rate scrape still overrides it whenever the day's sources report a rate — so we are never showing a stale hardcoded number. If the current rate differs from 1.00%, it's a one-line change to the fallback.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F. Cabinet reference — </w:t>
      </w:r>
      <w:r>
        <w:rPr>
          <w:b/>
          <w:bCs/>
        </w:rPr>
        <w:t xml:space="preserve">Done</w:t>
      </w:r>
    </w:p>
    <w:p>
      <w:pPr>
        <w:spacing w:after="100"/>
      </w:pPr>
      <w:r>
        <w:rPr>
          <w:i/>
          <w:iCs/>
        </w:rPr>
        <w:t xml:space="preserve">Nakano #11 — drop-in</w:t>
      </w:r>
    </w:p>
    <w:p>
      <w:pPr>
        <w:spacing w:after="100"/>
      </w:pPr>
      <w:r>
        <w:t xml:space="preserve">Nakano confirms the cabinet names are current. Two adjustments: </w:t>
      </w:r>
      <w:r>
        <w:rPr>
          <w:b/>
          <w:bCs/>
        </w:rPr>
        <w:t xml:space="preserve">Yoshimasa Hayashi</w:t>
      </w:r>
      <w:r>
        <w:t xml:space="preserve"> (Internal Affairs &amp; Communications) is already in the reference; add </w:t>
      </w:r>
      <w:r>
        <w:rPr>
          <w:b/>
          <w:bCs/>
        </w:rPr>
        <w:t xml:space="preserve">Kimi Onoda</w:t>
      </w:r>
      <w:r>
        <w:t xml:space="preserve">, Minister for Economic Security — noting she also carries the "foreign nationals" portfolio. No decision required.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G. Targeted coverage: rare earths and the $550B framework — </w:t>
      </w:r>
      <w:r>
        <w:rPr>
          <w:b/>
          <w:bCs/>
        </w:rPr>
        <w:t xml:space="preserve">Done</w:t>
      </w:r>
    </w:p>
    <w:p>
      <w:pPr>
        <w:spacing w:after="100"/>
      </w:pPr>
      <w:r>
        <w:rPr>
          <w:i/>
          <w:iCs/>
        </w:rPr>
        <w:t xml:space="preserve">Govella #4, #7 — prompt steering</w:t>
      </w:r>
    </w:p>
    <w:p>
      <w:pPr>
        <w:spacing w:after="100"/>
      </w:pPr>
      <w:r>
        <w:t xml:space="preserve">Neither needed a new source; both are instructions that make sure existing coverage surfaces. </w:t>
      </w:r>
      <w:r>
        <w:rPr>
          <w:b/>
          <w:bCs/>
        </w:rPr>
        <w:t xml:space="preserve">Implemented: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Rare earths / critical minerals</w:t>
      </w:r>
      <w:r>
        <w:t xml:space="preserve"> — now an explicit watch item in the Regional Pressure Watch's China signal (rare earths, gallium, germanium, graphite, magnets, export-license/supply restrictions bearing on Japan), where China's mineral leverage properly belongs.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$550 billion US-Japan strategic investment framework</w:t>
      </w:r>
      <w:r>
        <w:t xml:space="preserve"> — now flagged as a priority pickup for both the Business &amp; Economy section and the trade block, and carried as a standing line in the tariff/trade dashboard.</w:t>
      </w:r>
    </w:p>
    <w:p>
      <w:pPr>
        <w:spacing w:after="100"/>
      </w:pPr>
      <w:r>
        <w:rPr>
          <w:i/>
          <w:iCs/>
        </w:rPr>
        <w:t xml:space="preserve">Honest limit:</w:t>
      </w:r>
      <w:r>
        <w:t xml:space="preserve"> our source-or-skip rule means we can guarantee we never </w:t>
      </w:r>
      <w:r>
        <w:rPr>
          <w:i/>
          <w:iCs/>
        </w:rPr>
        <w:t xml:space="preserve">miss</w:t>
      </w:r>
      <w:r>
        <w:t xml:space="preserve"> one of these stories when the day's feeds carry it — we cannot manufacture one on a quiet day. That is the correct, non-fabricating behavior.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H. US-Japan Alliance &amp; Trade — figures rewrite — </w:t>
      </w:r>
      <w:r>
        <w:rPr>
          <w:b/>
          <w:bCs/>
        </w:rPr>
        <w:t xml:space="preserve">Done</w:t>
      </w:r>
    </w:p>
    <w:p>
      <w:pPr>
        <w:spacing w:after="100"/>
      </w:pPr>
      <w:r>
        <w:rPr>
          <w:i/>
          <w:iCs/>
        </w:rPr>
        <w:t xml:space="preserve">Nakano #12 — substantive, high value</w:t>
      </w:r>
    </w:p>
    <w:p>
      <w:pPr>
        <w:spacing w:after="100"/>
      </w:pPr>
      <w:r>
        <w:t xml:space="preserve">Nakano's detailed corrections have been </w:t>
      </w:r>
      <w:r>
        <w:rPr>
          <w:b/>
          <w:bCs/>
        </w:rPr>
        <w:t xml:space="preserve">encoded verbatim</w:t>
      </w:r>
      <w:r>
        <w:t xml:space="preserve"> as the new trade/alliance baselines, and the email's tariff/alliance dashboard now renders them:</w:t>
      </w:r>
    </w:p>
    <w:p>
      <w:pPr>
        <w:spacing w:after="100"/>
      </w:pPr>
      <w:r>
        <w:rPr>
          <w:b/>
          <w:bCs/>
        </w:rPr>
        <w:t xml:space="preserve">Tariffs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Autos: </w:t>
      </w:r>
      <w:r>
        <w:rPr>
          <w:b/>
          <w:bCs/>
        </w:rPr>
        <w:t xml:space="preserve">15%, inclusive of MFN</w:t>
      </w:r>
      <w:r>
        <w:t xml:space="preserve">, under the 2025 US-Japan agreement (replaces the old 25% Section 232 auto rate for Japan).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Section 122: </w:t>
      </w:r>
      <w:r>
        <w:rPr>
          <w:b/>
          <w:bCs/>
        </w:rPr>
        <w:t xml:space="preserve">10% surcharge through July 24, 2026</w:t>
      </w:r>
      <w:r>
        <w:t xml:space="preserve">, </w:t>
      </w:r>
      <w:r>
        <w:rPr>
          <w:b/>
          <w:bCs/>
        </w:rPr>
        <w:t xml:space="preserve">not stacked</w:t>
      </w:r>
      <w:r>
        <w:t xml:space="preserve"> on Section 232, </w:t>
      </w:r>
      <w:r>
        <w:rPr>
          <w:b/>
          <w:bCs/>
        </w:rPr>
        <w:t xml:space="preserve">autos excluded</w:t>
      </w:r>
      <w:r>
        <w:t xml:space="preserve"> — on the June 2026 proclamation basis.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Steel &amp; aluminum: </w:t>
      </w:r>
      <w:r>
        <w:rPr>
          <w:b/>
          <w:bCs/>
        </w:rPr>
        <w:t xml:space="preserve">50%</w:t>
      </w:r>
      <w:r>
        <w:t xml:space="preserve"> remains the core Section 232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New "Section 301 Watch"</w:t>
      </w:r>
      <w:r>
        <w:t xml:space="preserve"> line (renders when relevant): proposed 12.5% forced-labor tariff; excess-capacity investigation pending — marked as </w:t>
      </w:r>
      <w:r>
        <w:rPr>
          <w:i/>
          <w:iCs/>
        </w:rPr>
        <w:t xml:space="preserve">proposed/pending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outdated "negotiated framework reported; auto relief unconfirmed — verify" line is </w:t>
      </w:r>
      <w:r>
        <w:rPr>
          <w:b/>
          <w:bCs/>
        </w:rPr>
        <w:t xml:space="preserve">removed</w:t>
      </w:r>
      <w:r>
        <w:t xml:space="preserve">; the dashboard now shows "2025 agreement in force" plus a </w:t>
      </w:r>
      <w:r>
        <w:rPr>
          <w:b/>
          <w:bCs/>
        </w:rPr>
        <w:t xml:space="preserve">$550B investment framework</w:t>
      </w:r>
      <w:r>
        <w:t xml:space="preserve"> line.</w:t>
      </w:r>
    </w:p>
    <w:p>
      <w:pPr>
        <w:spacing w:after="100"/>
      </w:pPr>
      <w:r>
        <w:rPr>
          <w:b/>
          <w:bCs/>
        </w:rPr>
        <w:t xml:space="preserve">Alliance dashboard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Defense spending: </w:t>
      </w:r>
      <w:r>
        <w:rPr>
          <w:b/>
          <w:bCs/>
        </w:rPr>
        <w:t xml:space="preserve">2% of GDP brought forward to JFY2025</w:t>
      </w:r>
      <w:r>
        <w:t xml:space="preserve"> (ended March 31, 2026), with the </w:t>
      </w:r>
      <w:r>
        <w:rPr>
          <w:b/>
          <w:bCs/>
        </w:rPr>
        <w:t xml:space="preserve">2026 Three Strategic Documents review</w:t>
      </w:r>
      <w:r>
        <w:t xml:space="preserve"> noted — replacing "by FY2027."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 5 / Senkakus: affirmed — </w:t>
      </w:r>
      <w:r>
        <w:rPr>
          <w:b/>
          <w:bCs/>
        </w:rPr>
        <w:t xml:space="preserve">kept</w:t>
      </w:r>
      <w:r>
        <w:t xml:space="preserve"> under the dashboard.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Host-nation support: SMA </w:t>
      </w:r>
      <w:r>
        <w:rPr>
          <w:b/>
          <w:bCs/>
        </w:rPr>
        <w:t xml:space="preserve">through March 31, 2027, ~¥211bn/year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USFJ: Henoko/Futenma realignment </w:t>
      </w:r>
      <w:r>
        <w:rPr>
          <w:b/>
          <w:bCs/>
        </w:rPr>
        <w:t xml:space="preserve">ongoing</w:t>
      </w:r>
      <w:r>
        <w:t xml:space="preserve">.</w:t>
      </w:r>
    </w:p>
    <w:p>
      <w:pPr>
        <w:spacing w:after="100"/>
      </w:pPr>
      <w:r>
        <w:t xml:space="preserve">These were reference-text + renderer changes, no new scraping. </w:t>
      </w:r>
      <w:r>
        <w:rPr>
          <w:i/>
          <w:iCs/>
        </w:rPr>
        <w:t xml:space="preserve">Standing caution:</w:t>
      </w:r>
      <w:r>
        <w:t xml:space="preserve"> several are dated specifics (a surcharge "through July 2026," an SMA to March 2027) and will eventually go stale like the old figures — the guardrail is intact: live news overrides the baseline, and anything uncertain is marked "verify."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I. Public Sentiment / polling — the one open decision</w:t>
      </w:r>
    </w:p>
    <w:p>
      <w:pPr>
        <w:spacing w:after="100"/>
      </w:pPr>
      <w:r>
        <w:rPr>
          <w:i/>
          <w:iCs/>
        </w:rPr>
        <w:t xml:space="preserve">Govella #5, #6 · Nakano #10</w:t>
      </w:r>
    </w:p>
    <w:p>
      <w:pPr>
        <w:spacing w:after="100"/>
      </w:pPr>
      <w:r>
        <w:t xml:space="preserve">This is the only item with a genuine trade-off, because the two reviewers emphasize different things: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Govella (#5):</w:t>
      </w:r>
      <w:r>
        <w:t xml:space="preserve"> Can it display </w:t>
      </w:r>
      <w:r>
        <w:rPr>
          <w:b/>
          <w:bCs/>
        </w:rPr>
        <w:t xml:space="preserve">multiple polls</w:t>
      </w:r>
      <w:r>
        <w:t xml:space="preserve">? "There are often differences."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Govella (#6):</w:t>
      </w:r>
      <w:r>
        <w:t xml:space="preserve"> Observing Japan runs a </w:t>
      </w:r>
      <w:r>
        <w:rPr>
          <w:b/>
          <w:bCs/>
        </w:rPr>
        <w:t xml:space="preserve">poll aggregator</w:t>
      </w:r>
      <w:r>
        <w:t xml:space="preserve"> worth linking.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Nakano (#10):</w:t>
      </w:r>
      <w:r>
        <w:t xml:space="preserve"> Pull figures from dedicated poll sites (NHK, Nikkei) — but </w:t>
      </w:r>
      <w:r>
        <w:rPr>
          <w:b/>
          <w:bCs/>
        </w:rPr>
        <w:t xml:space="preserve">"do not want to overcomplicate."</w:t>
      </w:r>
    </w:p>
    <w:p>
      <w:pPr>
        <w:spacing w:after="100"/>
      </w:pPr>
      <w:r>
        <w:t xml:space="preserve">Today the digest shows a single poll under a strict same-pollster/same-date rule. Honoring "show multiple polls" means changing the data model to hold two or three polls and rendering them side by side (e.g. </w:t>
      </w:r>
      <w:r>
        <w:rPr>
          <w:i/>
          <w:iCs/>
        </w:rPr>
        <w:t xml:space="preserve">NHK 46% · Jiji 41% · Yomiuri 44%</w:t>
      </w:r>
      <w:r>
        <w:t xml:space="preserve">). The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1 — Multi-poll row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2–3 pollsters side by side; collapses to one on light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Fully honors "show differences"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2 — One poll + aggregator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Keep single headline poll; add standing Observing Japan tracker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Simplest; doesn't literally show multiple numbers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3 — Both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Multi-poll row </w:t>
            </w:r>
            <w:r>
              <w:rPr>
                <w:i/>
                <w:iCs/>
              </w:rPr>
              <w:t xml:space="preserve">and</w:t>
            </w:r>
            <w:r>
              <w:t xml:space="preserve"> aggregator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Most complete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On Nakano's dedicated-site suggestion: the NHK and Nikkei approval pages are data/JavaScript pages, not standard feeds, so scraping them reliably is real work and can fail silently. </w:t>
      </w:r>
      <w:r>
        <w:rPr>
          <w:b/>
          <w:bCs/>
        </w:rPr>
        <w:t xml:space="preserve">Recommendation:</w:t>
      </w:r>
      <w:r>
        <w:t xml:space="preserve"> do </w:t>
      </w:r>
      <w:r>
        <w:rPr>
          <w:i/>
          <w:iCs/>
        </w:rPr>
        <w:t xml:space="preserve">not</w:t>
      </w:r>
      <w:r>
        <w:t xml:space="preserve"> hard-scrape those; rely on the pollster stories we already collect (NHK/Jiji/Yomiuri/Asahi/Kyodo all publish poll coverage we catch), and add the Observing Japan aggregator as a </w:t>
      </w:r>
      <w:r>
        <w:rPr>
          <w:b/>
          <w:bCs/>
        </w:rPr>
        <w:t xml:space="preserve">link</w:t>
      </w:r>
      <w:r>
        <w:t xml:space="preserve">. That honors "don't overcomplicate."</w:t>
      </w:r>
    </w:p>
    <w:p>
      <w:pPr>
        <w:spacing w:after="100"/>
      </w:pPr>
      <w:r>
        <w:rPr>
          <w:b/>
          <w:bCs/>
        </w:rPr>
        <w:t xml:space="preserve">Our recommendation: Option 1 plus the aggregator link</w:t>
      </w:r>
      <w:r>
        <w:t xml:space="preserve"> — show multiple polls when the day's feeds carry them, plus a persistent Observing Japan tracker link, and no fragile dedicated-site scraping.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What we need from you</w:t>
      </w:r>
    </w:p>
    <w:p>
      <w:pPr>
        <w:spacing w:after="100"/>
      </w:pPr>
      <w:r>
        <w:rPr>
          <w:b/>
          <w:bCs/>
        </w:rPr>
        <w:t xml:space="preserve">One decision remains: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Polling display (§I):</w:t>
      </w:r>
      <w:r>
        <w:t xml:space="preserve"> confirm </w:t>
      </w:r>
      <w:r>
        <w:rPr>
          <w:b/>
          <w:bCs/>
        </w:rPr>
        <w:t xml:space="preserve">Option 1 + aggregator link</w:t>
      </w:r>
      <w:r>
        <w:t xml:space="preserve"> (our recommendation), or pick another. This is the only thing gating Batch 3.</w:t>
      </w:r>
    </w:p>
    <w:p>
      <w:pPr>
        <w:spacing w:after="100"/>
      </w:pPr>
      <w:r>
        <w:rPr>
          <w:i/>
          <w:iCs/>
        </w:rPr>
        <w:t xml:space="preserve">Resolved and shipped:</w:t>
      </w:r>
      <w:r>
        <w:t xml:space="preserve"> the BOJ fallback (§E, now 1.00%) and the trade/alliance figures (§H, encoded as-is per your green-light). If any Batch-2 figure should be re-verified against a specific source, point us to it and it's a one-line change.</w:t>
      </w:r>
    </w:p>
    <w:p>
      <w:pPr>
        <w:spacing w:after="100"/>
      </w:pPr>
      <w:r>
        <w:rPr>
          <w:i/>
          <w:iCs/>
        </w:rPr>
        <w:t xml:space="preserve">Prepared by Andy Lim · CSIS Japan Chair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Daily Japan Digest — Setup &amp; Operations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40" w:before="2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2026-07-16T00:06:17.421Z</dcterms:created>
  <dcterms:modified xsi:type="dcterms:W3CDTF">2026-07-16T00:06:17.435Z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