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666666"/>
          <w:sz w:val="20"/>
        </w:rPr>
        <w:t>CSIS JAPAN CHAIR</w:t>
      </w:r>
    </w:p>
    <w:p>
      <w:pPr>
        <w:jc w:val="center"/>
      </w:pPr>
      <w:r>
        <w:rPr>
          <w:b/>
          <w:color w:val="111111"/>
          <w:sz w:val="52"/>
        </w:rPr>
        <w:t>Japan Daily Brief</w:t>
      </w:r>
    </w:p>
    <w:p>
      <w:pPr>
        <w:spacing w:after="80"/>
        <w:jc w:val="center"/>
      </w:pPr>
      <w:r>
        <w:rPr>
          <w:color w:val="444444"/>
          <w:sz w:val="30"/>
        </w:rPr>
        <w:t>How It Is Built</w:t>
      </w:r>
    </w:p>
    <w:p>
      <w:pPr>
        <w:spacing w:after="560"/>
        <w:jc w:val="center"/>
      </w:pPr>
      <w:r>
        <w:rPr>
          <w:i/>
          <w:color w:val="808080"/>
          <w:sz w:val="22"/>
        </w:rPr>
        <w:t>Pipeline  ·  Sourcing  ·  Sections  ·  Editorial Rules  ·  Cost  ·  Open Decisions</w:t>
      </w:r>
    </w:p>
    <w:p>
      <w:pPr>
        <w:jc w:val="center"/>
      </w:pPr>
      <w:r>
        <w:rPr>
          <w:color w:val="808080"/>
          <w:sz w:val="20"/>
        </w:rPr>
        <w:t>Prepared by Andy Lim  ·  CSIS Japan Chair  ·  September 2026</w:t>
      </w:r>
    </w:p>
    <w:p>
      <w:r>
        <w:br w:type="page"/>
      </w:r>
    </w:p>
    <w:p>
      <w:pPr>
        <w:spacing w:before="320" w:after="80"/>
        <w:pBdr>
          <w:bottom w:val="single" w:sz="6" w:space="1" w:color="111111"/>
        </w:pBdr>
      </w:pPr>
      <w:r>
        <w:rPr>
          <w:b/>
          <w:i w:val="0"/>
          <w:color w:val="111111"/>
          <w:sz w:val="34"/>
        </w:rPr>
        <w:t>1.  What Is This?</w:t>
      </w:r>
    </w:p>
    <w:p>
      <w:pPr>
        <w:spacing w:before="0" w:after="160"/>
      </w:pPr>
      <w:r>
        <w:rPr>
          <w:b w:val="0"/>
          <w:i w:val="0"/>
          <w:color w:val="444444"/>
          <w:sz w:val="22"/>
        </w:rPr>
        <w:t>An automated daily intelligence briefing on Japan, delivered to the distribution list at 7:00 AM ET every morning. Each issue covers overnight news, Japanese government action, Diet business, business and economy, the Indo-Pacific as it bears on Japan, cabinet approval polling and expert commentary, drawn from 116 sources. It is a five-minute read, and it replaces roughly ninety minutes a morning of manual scanning.</w:t>
      </w:r>
    </w:p>
    <w:p>
      <w:pPr>
        <w:spacing w:before="120" w:after="200"/>
        <w:ind w:left="288"/>
        <w:pBdr>
          <w:left w:val="single" w:sz="12" w:space="6" w:color="111111"/>
        </w:pBdr>
      </w:pPr>
      <w:r>
        <w:rPr>
          <w:b/>
          <w:color w:val="111111"/>
          <w:sz w:val="20"/>
        </w:rPr>
        <w:t xml:space="preserve">The one-line pitch:  </w:t>
      </w:r>
      <w:r>
        <w:rPr>
          <w:color w:val="444444"/>
          <w:sz w:val="21"/>
        </w:rPr>
        <w:t>A senior analyst's morning scan, automated. No staff time, no manual curation. It runs on its own every day for about $9 a month.</w:t>
      </w:r>
    </w:p>
    <w:tbl>
      <w:tblPr>
        <w:tblStyle w:val="TableGrid"/>
        <w:tblW w:type="auto" w:w="0"/>
        <w:jc w:val="left"/>
        <w:tblLook w:firstColumn="1" w:firstRow="1" w:lastColumn="0" w:lastRow="0" w:noHBand="0" w:noVBand="1" w:val="04A0"/>
      </w:tblPr>
      <w:tblGrid>
        <w:gridCol w:w="4703"/>
        <w:gridCol w:w="4703"/>
      </w:tblGrid>
      <w:tr>
        <w:tc>
          <w:tcPr>
            <w:tcW w:type="dxa" w:w="2448"/>
            <w:shd w:val="clear" w:color="auto" w:fill="111111"/>
          </w:tcPr>
          <w:p>
            <w:pPr>
              <w:spacing w:before="40" w:after="40"/>
            </w:pPr>
            <w:r>
              <w:rPr>
                <w:b/>
                <w:color w:val="FFFFFF"/>
                <w:sz w:val="18"/>
              </w:rPr>
            </w:r>
          </w:p>
        </w:tc>
        <w:tc>
          <w:tcPr>
            <w:tcW w:type="dxa" w:w="6480"/>
            <w:shd w:val="clear" w:color="auto" w:fill="111111"/>
          </w:tcPr>
          <w:p>
            <w:pPr>
              <w:spacing w:before="40" w:after="40"/>
            </w:pPr>
            <w:r>
              <w:rPr>
                <w:b/>
                <w:color w:val="FFFFFF"/>
                <w:sz w:val="18"/>
              </w:rPr>
              <w:t>Japan Daily Brief</w:t>
            </w:r>
          </w:p>
        </w:tc>
      </w:tr>
      <w:tr>
        <w:tc>
          <w:tcPr>
            <w:tcW w:type="dxa" w:w="2448"/>
          </w:tcPr>
          <w:p>
            <w:pPr>
              <w:spacing w:before="40" w:after="40"/>
            </w:pPr>
            <w:r>
              <w:rPr>
                <w:b w:val="0"/>
                <w:sz w:val="19"/>
              </w:rPr>
              <w:t>Sources</w:t>
            </w:r>
          </w:p>
        </w:tc>
        <w:tc>
          <w:tcPr>
            <w:tcW w:type="dxa" w:w="6480"/>
          </w:tcPr>
          <w:p>
            <w:pPr>
              <w:spacing w:before="40" w:after="40"/>
            </w:pPr>
            <w:r>
              <w:rPr>
                <w:b w:val="0"/>
                <w:sz w:val="19"/>
              </w:rPr>
              <w:t>116 feeds across six collections</w:t>
            </w:r>
          </w:p>
        </w:tc>
      </w:tr>
      <w:tr>
        <w:tc>
          <w:tcPr>
            <w:tcW w:type="dxa" w:w="2448"/>
            <w:shd w:val="clear" w:color="auto" w:fill="F2F2F2"/>
          </w:tcPr>
          <w:p>
            <w:pPr>
              <w:spacing w:before="40" w:after="40"/>
            </w:pPr>
            <w:r>
              <w:rPr>
                <w:b w:val="0"/>
                <w:sz w:val="19"/>
              </w:rPr>
              <w:t>Tiers</w:t>
            </w:r>
          </w:p>
        </w:tc>
        <w:tc>
          <w:tcPr>
            <w:tcW w:type="dxa" w:w="6480"/>
            <w:shd w:val="clear" w:color="auto" w:fill="F2F2F2"/>
          </w:tcPr>
          <w:p>
            <w:pPr>
              <w:spacing w:before="40" w:after="40"/>
            </w:pPr>
            <w:r>
              <w:rPr>
                <w:b w:val="0"/>
                <w:sz w:val="19"/>
              </w:rPr>
              <w:t>4 (News / Analysis / Academic / Primary statements), plus a PM tracker and polling</w:t>
            </w:r>
          </w:p>
        </w:tc>
      </w:tr>
      <w:tr>
        <w:tc>
          <w:tcPr>
            <w:tcW w:type="dxa" w:w="2448"/>
          </w:tcPr>
          <w:p>
            <w:pPr>
              <w:spacing w:before="40" w:after="40"/>
            </w:pPr>
            <w:r>
              <w:rPr>
                <w:b w:val="0"/>
                <w:sz w:val="19"/>
              </w:rPr>
              <w:t>Languages</w:t>
            </w:r>
          </w:p>
        </w:tc>
        <w:tc>
          <w:tcPr>
            <w:tcW w:type="dxa" w:w="6480"/>
          </w:tcPr>
          <w:p>
            <w:pPr>
              <w:spacing w:before="40" w:after="40"/>
            </w:pPr>
            <w:r>
              <w:rPr>
                <w:b w:val="0"/>
                <w:sz w:val="19"/>
              </w:rPr>
              <w:t>English and Japanese, translated by Claude</w:t>
            </w:r>
          </w:p>
        </w:tc>
      </w:tr>
      <w:tr>
        <w:tc>
          <w:tcPr>
            <w:tcW w:type="dxa" w:w="2448"/>
            <w:shd w:val="clear" w:color="auto" w:fill="F2F2F2"/>
          </w:tcPr>
          <w:p>
            <w:pPr>
              <w:spacing w:before="40" w:after="40"/>
            </w:pPr>
            <w:r>
              <w:rPr>
                <w:b w:val="0"/>
                <w:sz w:val="19"/>
              </w:rPr>
              <w:t>Sections</w:t>
            </w:r>
          </w:p>
        </w:tc>
        <w:tc>
          <w:tcPr>
            <w:tcW w:type="dxa" w:w="6480"/>
            <w:shd w:val="clear" w:color="auto" w:fill="F2F2F2"/>
          </w:tcPr>
          <w:p>
            <w:pPr>
              <w:spacing w:before="40" w:after="40"/>
            </w:pPr>
            <w:r>
              <w:rPr>
                <w:b w:val="0"/>
                <w:sz w:val="19"/>
              </w:rPr>
              <w:t>14 in the email, each omitted on a day with nothing behind it</w:t>
            </w:r>
          </w:p>
        </w:tc>
      </w:tr>
      <w:tr>
        <w:tc>
          <w:tcPr>
            <w:tcW w:type="dxa" w:w="2448"/>
          </w:tcPr>
          <w:p>
            <w:pPr>
              <w:spacing w:before="40" w:after="40"/>
            </w:pPr>
            <w:r>
              <w:rPr>
                <w:b w:val="0"/>
                <w:sz w:val="19"/>
              </w:rPr>
              <w:t>Length</w:t>
            </w:r>
          </w:p>
        </w:tc>
        <w:tc>
          <w:tcPr>
            <w:tcW w:type="dxa" w:w="6480"/>
          </w:tcPr>
          <w:p>
            <w:pPr>
              <w:spacing w:before="40" w:after="40"/>
            </w:pPr>
            <w:r>
              <w:rPr>
                <w:b w:val="0"/>
                <w:sz w:val="19"/>
              </w:rPr>
              <w:t>1,900–2,200 words; hard ceiling 2,400, hard minimum 1,600</w:t>
            </w:r>
          </w:p>
        </w:tc>
      </w:tr>
      <w:tr>
        <w:tc>
          <w:tcPr>
            <w:tcW w:type="dxa" w:w="2448"/>
            <w:shd w:val="clear" w:color="auto" w:fill="F2F2F2"/>
          </w:tcPr>
          <w:p>
            <w:pPr>
              <w:spacing w:before="40" w:after="40"/>
            </w:pPr>
            <w:r>
              <w:rPr>
                <w:b w:val="0"/>
                <w:sz w:val="19"/>
              </w:rPr>
              <w:t>Persistent trackers</w:t>
            </w:r>
          </w:p>
        </w:tc>
        <w:tc>
          <w:tcPr>
            <w:tcW w:type="dxa" w:w="6480"/>
            <w:shd w:val="clear" w:color="auto" w:fill="F2F2F2"/>
          </w:tcPr>
          <w:p>
            <w:pPr>
              <w:spacing w:before="40" w:after="40"/>
            </w:pPr>
            <w:r>
              <w:rPr>
                <w:b w:val="0"/>
                <w:sz w:val="19"/>
              </w:rPr>
              <w:t>PM appearances, regional pressure, feed health, verified calendar</w:t>
            </w:r>
          </w:p>
        </w:tc>
      </w:tr>
      <w:tr>
        <w:tc>
          <w:tcPr>
            <w:tcW w:type="dxa" w:w="2448"/>
          </w:tcPr>
          <w:p>
            <w:pPr>
              <w:spacing w:before="40" w:after="40"/>
            </w:pPr>
            <w:r>
              <w:rPr>
                <w:b w:val="0"/>
                <w:sz w:val="19"/>
              </w:rPr>
              <w:t>Delivery</w:t>
            </w:r>
          </w:p>
        </w:tc>
        <w:tc>
          <w:tcPr>
            <w:tcW w:type="dxa" w:w="6480"/>
          </w:tcPr>
          <w:p>
            <w:pPr>
              <w:spacing w:before="40" w:after="40"/>
            </w:pPr>
            <w:r>
              <w:rPr>
                <w:b w:val="0"/>
                <w:sz w:val="19"/>
              </w:rPr>
              <w:t>7:00 AM ET daily, with five fallback runs through 10:35 AM</w:t>
            </w:r>
          </w:p>
        </w:tc>
      </w:tr>
      <w:tr>
        <w:tc>
          <w:tcPr>
            <w:tcW w:type="dxa" w:w="2448"/>
            <w:shd w:val="clear" w:color="auto" w:fill="F2F2F2"/>
          </w:tcPr>
          <w:p>
            <w:pPr>
              <w:spacing w:before="40" w:after="40"/>
            </w:pPr>
            <w:r>
              <w:rPr>
                <w:b w:val="0"/>
                <w:sz w:val="19"/>
              </w:rPr>
              <w:t>Monthly API cost</w:t>
            </w:r>
          </w:p>
        </w:tc>
        <w:tc>
          <w:tcPr>
            <w:tcW w:type="dxa" w:w="6480"/>
            <w:shd w:val="clear" w:color="auto" w:fill="F2F2F2"/>
          </w:tcPr>
          <w:p>
            <w:pPr>
              <w:spacing w:before="40" w:after="40"/>
            </w:pPr>
            <w:r>
              <w:rPr>
                <w:b w:val="0"/>
                <w:sz w:val="19"/>
              </w:rPr>
              <w:t>About $9</w:t>
            </w:r>
          </w:p>
        </w:tc>
      </w:tr>
    </w:tbl>
    <w:p>
      <w:pPr>
        <w:spacing w:after="40"/>
      </w:pPr>
    </w:p>
    <w:p>
      <w:pPr>
        <w:spacing w:before="320" w:after="80"/>
        <w:pBdr>
          <w:bottom w:val="single" w:sz="6" w:space="1" w:color="111111"/>
        </w:pBdr>
      </w:pPr>
      <w:r>
        <w:rPr>
          <w:b/>
          <w:i w:val="0"/>
          <w:color w:val="111111"/>
          <w:sz w:val="34"/>
        </w:rPr>
        <w:t>2.  How It Works</w:t>
      </w:r>
    </w:p>
    <w:p>
      <w:pPr>
        <w:spacing w:before="0" w:after="120"/>
      </w:pPr>
      <w:r>
        <w:rPr>
          <w:b w:val="0"/>
          <w:i w:val="0"/>
          <w:color w:val="444444"/>
          <w:sz w:val="22"/>
        </w:rPr>
        <w:t>Every morning GitHub's servers wake up and run a six-stage pipeline in three to five minutes. Each stage hands the next a single structured object, and nothing reaches a reader that has not passed all six.</w:t>
      </w:r>
    </w:p>
    <w:p>
      <w:pPr>
        <w:pStyle w:val="ListBullet"/>
        <w:spacing w:before="20" w:after="60"/>
        <w:ind w:left="360"/>
      </w:pPr>
      <w:r>
        <w:rPr>
          <w:b/>
          <w:color w:val="111111"/>
          <w:sz w:val="21"/>
        </w:rPr>
        <w:t xml:space="preserve">Step 1 — Collect  </w:t>
      </w:r>
      <w:r>
        <w:rPr>
          <w:color w:val="444444"/>
          <w:sz w:val="21"/>
        </w:rPr>
        <w:t>116 feeds pulled in parallel across 25 threads, each tier with its own recency window. Market data, the PM appearance tracker and cabinet approval polling are fetched live rather than recalled.</w:t>
      </w:r>
    </w:p>
    <w:p>
      <w:pPr>
        <w:pStyle w:val="ListBullet"/>
        <w:spacing w:before="20" w:after="60"/>
        <w:ind w:left="360"/>
      </w:pPr>
      <w:r>
        <w:rPr>
          <w:b/>
          <w:color w:val="111111"/>
          <w:sz w:val="21"/>
        </w:rPr>
        <w:t xml:space="preserve">Step 2 — Rank  </w:t>
      </w:r>
      <w:r>
        <w:rPr>
          <w:color w:val="444444"/>
          <w:sz w:val="21"/>
        </w:rPr>
        <w:t>Only the strongest articles per tier reach the model. Ordered by primary documents first, then the outlets an editorial rule names, then flagged correspondents, then Japanese full text — taking one article per source before any source gets a second, so a prolific wire cannot crowd out the Japanese press.</w:t>
      </w:r>
    </w:p>
    <w:p>
      <w:pPr>
        <w:pStyle w:val="ListBullet"/>
        <w:spacing w:before="20" w:after="60"/>
        <w:ind w:left="360"/>
      </w:pPr>
      <w:r>
        <w:rPr>
          <w:b/>
          <w:color w:val="111111"/>
          <w:sz w:val="21"/>
        </w:rPr>
        <w:t xml:space="preserve">Step 3 — Write  </w:t>
      </w:r>
      <w:r>
        <w:rPr>
          <w:color w:val="444444"/>
          <w:sz w:val="21"/>
        </w:rPr>
        <w:t>One structured call to Claude. Sonnet first, Opus on retry. The prompt carries the day's articles plus the trackers' real historical baselines, and demands JSON with a fixed field for every section.</w:t>
      </w:r>
    </w:p>
    <w:p>
      <w:pPr>
        <w:pStyle w:val="ListBullet"/>
        <w:spacing w:before="20" w:after="60"/>
        <w:ind w:left="360"/>
      </w:pPr>
      <w:r>
        <w:rPr>
          <w:b/>
          <w:color w:val="111111"/>
          <w:sz w:val="21"/>
        </w:rPr>
        <w:t xml:space="preserve">Step 4 — Validate  </w:t>
      </w:r>
      <w:r>
        <w:rPr>
          <w:color w:val="444444"/>
          <w:sz w:val="21"/>
        </w:rPr>
        <w:t>A gate checks the output before anything sends: every link traced back to a collected article or the item dropped, duplicates removed within the issue and against the past week, hollow filler stripped, per-source caps enforced, length trimmed to the ceiling.</w:t>
      </w:r>
    </w:p>
    <w:p>
      <w:pPr>
        <w:pStyle w:val="ListBullet"/>
        <w:spacing w:before="20" w:after="60"/>
        <w:ind w:left="360"/>
      </w:pPr>
      <w:r>
        <w:rPr>
          <w:b/>
          <w:color w:val="111111"/>
          <w:sz w:val="21"/>
        </w:rPr>
        <w:t xml:space="preserve">Step 5 — Render  </w:t>
      </w:r>
      <w:r>
        <w:rPr>
          <w:color w:val="444444"/>
          <w:sz w:val="21"/>
        </w:rPr>
        <w:t>The JSON becomes table-based HTML with inline CSS, built to survive Outlook and Gmail forwarding. Dark mode, the mobile layout and the print PDF all come from the same markup.</w:t>
      </w:r>
    </w:p>
    <w:p>
      <w:pPr>
        <w:pStyle w:val="ListBullet"/>
        <w:spacing w:before="20" w:after="60"/>
        <w:ind w:left="360"/>
      </w:pPr>
      <w:r>
        <w:rPr>
          <w:b/>
          <w:color w:val="111111"/>
          <w:sz w:val="21"/>
        </w:rPr>
        <w:t xml:space="preserve">Step 6 — Send and publish  </w:t>
      </w:r>
      <w:r>
        <w:rPr>
          <w:color w:val="444444"/>
          <w:sz w:val="21"/>
        </w:rPr>
        <w:t>Gmail SMTP to the distribution list, then the same issue to the web archive with a PDF beside it.</w:t>
      </w:r>
    </w:p>
    <w:p>
      <w:pPr>
        <w:spacing w:before="0" w:after="80"/>
      </w:pPr>
      <w:r>
        <w:rPr>
          <w:b w:val="0"/>
          <w:i w:val="0"/>
          <w:sz w:val="22"/>
        </w:rPr>
      </w:r>
    </w:p>
    <w:p>
      <w:pPr>
        <w:spacing w:before="120" w:after="200"/>
        <w:ind w:left="288"/>
        <w:pBdr>
          <w:left w:val="single" w:sz="12" w:space="6" w:color="111111"/>
        </w:pBdr>
      </w:pPr>
      <w:r>
        <w:rPr>
          <w:b/>
          <w:color w:val="111111"/>
          <w:sz w:val="20"/>
        </w:rPr>
        <w:t xml:space="preserve">Fallback logic:  </w:t>
      </w:r>
      <w:r>
        <w:rPr>
          <w:color w:val="444444"/>
          <w:sz w:val="21"/>
        </w:rPr>
        <w:t>If the 7:00 AM dispatch is missed, five scheduled runs from 7:05 to 10:35 AM ET cover it, and a skip guard prevents a second send the same day. If every run fails, no email goes out — silence is better than a bad product.</w:t>
      </w:r>
    </w:p>
    <w:tbl>
      <w:tblPr>
        <w:tblStyle w:val="TableGrid"/>
        <w:tblW w:type="auto" w:w="0"/>
        <w:jc w:val="left"/>
        <w:tblLook w:firstColumn="1" w:firstRow="1" w:lastColumn="0" w:lastRow="0" w:noHBand="0" w:noVBand="1" w:val="04A0"/>
      </w:tblPr>
      <w:tblGrid>
        <w:gridCol w:w="3135"/>
        <w:gridCol w:w="3135"/>
        <w:gridCol w:w="3135"/>
      </w:tblGrid>
      <w:tr>
        <w:tc>
          <w:tcPr>
            <w:tcW w:type="dxa" w:w="2448"/>
            <w:shd w:val="clear" w:color="auto" w:fill="111111"/>
          </w:tcPr>
          <w:p>
            <w:pPr>
              <w:spacing w:before="40" w:after="40"/>
            </w:pPr>
            <w:r>
              <w:rPr>
                <w:b/>
                <w:color w:val="FFFFFF"/>
                <w:sz w:val="18"/>
              </w:rPr>
              <w:t>Tool</w:t>
            </w:r>
          </w:p>
        </w:tc>
        <w:tc>
          <w:tcPr>
            <w:tcW w:type="dxa" w:w="4752"/>
            <w:shd w:val="clear" w:color="auto" w:fill="111111"/>
          </w:tcPr>
          <w:p>
            <w:pPr>
              <w:spacing w:before="40" w:after="40"/>
            </w:pPr>
            <w:r>
              <w:rPr>
                <w:b/>
                <w:color w:val="FFFFFF"/>
                <w:sz w:val="18"/>
              </w:rPr>
              <w:t>Role</w:t>
            </w:r>
          </w:p>
        </w:tc>
        <w:tc>
          <w:tcPr>
            <w:tcW w:type="dxa" w:w="1872"/>
            <w:shd w:val="clear" w:color="auto" w:fill="111111"/>
          </w:tcPr>
          <w:p>
            <w:pPr>
              <w:spacing w:before="40" w:after="40"/>
            </w:pPr>
            <w:r>
              <w:rPr>
                <w:b/>
                <w:color w:val="FFFFFF"/>
                <w:sz w:val="18"/>
              </w:rPr>
              <w:t>Cost</w:t>
            </w:r>
          </w:p>
        </w:tc>
      </w:tr>
      <w:tr>
        <w:tc>
          <w:tcPr>
            <w:tcW w:type="dxa" w:w="2448"/>
          </w:tcPr>
          <w:p>
            <w:pPr>
              <w:spacing w:before="40" w:after="40"/>
            </w:pPr>
            <w:r>
              <w:rPr>
                <w:b w:val="0"/>
                <w:sz w:val="19"/>
              </w:rPr>
              <w:t>Python 3.12</w:t>
            </w:r>
          </w:p>
        </w:tc>
        <w:tc>
          <w:tcPr>
            <w:tcW w:type="dxa" w:w="4752"/>
          </w:tcPr>
          <w:p>
            <w:pPr>
              <w:spacing w:before="40" w:after="40"/>
            </w:pPr>
            <w:r>
              <w:rPr>
                <w:b w:val="0"/>
                <w:sz w:val="19"/>
              </w:rPr>
              <w:t>Pipeline code</w:t>
            </w:r>
          </w:p>
        </w:tc>
        <w:tc>
          <w:tcPr>
            <w:tcW w:type="dxa" w:w="1872"/>
          </w:tcPr>
          <w:p>
            <w:pPr>
              <w:spacing w:before="40" w:after="40"/>
            </w:pPr>
            <w:r>
              <w:rPr>
                <w:b w:val="0"/>
                <w:sz w:val="19"/>
              </w:rPr>
              <w:t>Free</w:t>
            </w:r>
          </w:p>
        </w:tc>
      </w:tr>
      <w:tr>
        <w:tc>
          <w:tcPr>
            <w:tcW w:type="dxa" w:w="2448"/>
            <w:shd w:val="clear" w:color="auto" w:fill="F2F2F2"/>
          </w:tcPr>
          <w:p>
            <w:pPr>
              <w:spacing w:before="40" w:after="40"/>
            </w:pPr>
            <w:r>
              <w:rPr>
                <w:b w:val="0"/>
                <w:sz w:val="19"/>
              </w:rPr>
              <w:t>GitHub Actions</w:t>
            </w:r>
          </w:p>
        </w:tc>
        <w:tc>
          <w:tcPr>
            <w:tcW w:type="dxa" w:w="4752"/>
            <w:shd w:val="clear" w:color="auto" w:fill="F2F2F2"/>
          </w:tcPr>
          <w:p>
            <w:pPr>
              <w:spacing w:before="40" w:after="40"/>
            </w:pPr>
            <w:r>
              <w:rPr>
                <w:b w:val="0"/>
                <w:sz w:val="19"/>
              </w:rPr>
              <w:t>Runs on a timer — no server needed</w:t>
            </w:r>
          </w:p>
        </w:tc>
        <w:tc>
          <w:tcPr>
            <w:tcW w:type="dxa" w:w="1872"/>
            <w:shd w:val="clear" w:color="auto" w:fill="F2F2F2"/>
          </w:tcPr>
          <w:p>
            <w:pPr>
              <w:spacing w:before="40" w:after="40"/>
            </w:pPr>
            <w:r>
              <w:rPr>
                <w:b w:val="0"/>
                <w:sz w:val="19"/>
              </w:rPr>
              <w:t>Free</w:t>
            </w:r>
          </w:p>
        </w:tc>
      </w:tr>
      <w:tr>
        <w:tc>
          <w:tcPr>
            <w:tcW w:type="dxa" w:w="2448"/>
          </w:tcPr>
          <w:p>
            <w:pPr>
              <w:spacing w:before="40" w:after="40"/>
            </w:pPr>
            <w:r>
              <w:rPr>
                <w:b w:val="0"/>
                <w:sz w:val="19"/>
              </w:rPr>
              <w:t>Claude API</w:t>
            </w:r>
          </w:p>
        </w:tc>
        <w:tc>
          <w:tcPr>
            <w:tcW w:type="dxa" w:w="4752"/>
          </w:tcPr>
          <w:p>
            <w:pPr>
              <w:spacing w:before="40" w:after="40"/>
            </w:pPr>
            <w:r>
              <w:rPr>
                <w:b w:val="0"/>
                <w:sz w:val="19"/>
              </w:rPr>
              <w:t>Reads, translates and writes the digest</w:t>
            </w:r>
          </w:p>
        </w:tc>
        <w:tc>
          <w:tcPr>
            <w:tcW w:type="dxa" w:w="1872"/>
          </w:tcPr>
          <w:p>
            <w:pPr>
              <w:spacing w:before="40" w:after="40"/>
            </w:pPr>
            <w:r>
              <w:rPr>
                <w:b w:val="0"/>
                <w:sz w:val="19"/>
              </w:rPr>
              <w:t>About $9/month</w:t>
            </w:r>
          </w:p>
        </w:tc>
      </w:tr>
      <w:tr>
        <w:tc>
          <w:tcPr>
            <w:tcW w:type="dxa" w:w="2448"/>
            <w:shd w:val="clear" w:color="auto" w:fill="F2F2F2"/>
          </w:tcPr>
          <w:p>
            <w:pPr>
              <w:spacing w:before="40" w:after="40"/>
            </w:pPr>
            <w:r>
              <w:rPr>
                <w:b w:val="0"/>
                <w:sz w:val="19"/>
              </w:rPr>
              <w:t>Gmail SMTP</w:t>
            </w:r>
          </w:p>
        </w:tc>
        <w:tc>
          <w:tcPr>
            <w:tcW w:type="dxa" w:w="4752"/>
            <w:shd w:val="clear" w:color="auto" w:fill="F2F2F2"/>
          </w:tcPr>
          <w:p>
            <w:pPr>
              <w:spacing w:before="40" w:after="40"/>
            </w:pPr>
            <w:r>
              <w:rPr>
                <w:b w:val="0"/>
                <w:sz w:val="19"/>
              </w:rPr>
              <w:t>Sends the email</w:t>
            </w:r>
          </w:p>
        </w:tc>
        <w:tc>
          <w:tcPr>
            <w:tcW w:type="dxa" w:w="1872"/>
            <w:shd w:val="clear" w:color="auto" w:fill="F2F2F2"/>
          </w:tcPr>
          <w:p>
            <w:pPr>
              <w:spacing w:before="40" w:after="40"/>
            </w:pPr>
            <w:r>
              <w:rPr>
                <w:b w:val="0"/>
                <w:sz w:val="19"/>
              </w:rPr>
              <w:t>Free</w:t>
            </w:r>
          </w:p>
        </w:tc>
      </w:tr>
      <w:tr>
        <w:tc>
          <w:tcPr>
            <w:tcW w:type="dxa" w:w="2448"/>
          </w:tcPr>
          <w:p>
            <w:pPr>
              <w:spacing w:before="40" w:after="40"/>
            </w:pPr>
            <w:r>
              <w:rPr>
                <w:b w:val="0"/>
                <w:sz w:val="19"/>
              </w:rPr>
              <w:t>GitHub Pages</w:t>
            </w:r>
          </w:p>
        </w:tc>
        <w:tc>
          <w:tcPr>
            <w:tcW w:type="dxa" w:w="4752"/>
          </w:tcPr>
          <w:p>
            <w:pPr>
              <w:spacing w:before="40" w:after="40"/>
            </w:pPr>
            <w:r>
              <w:rPr>
                <w:b w:val="0"/>
                <w:sz w:val="19"/>
              </w:rPr>
              <w:t>Public archive of past issues, with PDFs</w:t>
            </w:r>
          </w:p>
        </w:tc>
        <w:tc>
          <w:tcPr>
            <w:tcW w:type="dxa" w:w="1872"/>
          </w:tcPr>
          <w:p>
            <w:pPr>
              <w:spacing w:before="40" w:after="40"/>
            </w:pPr>
            <w:r>
              <w:rPr>
                <w:b w:val="0"/>
                <w:sz w:val="19"/>
              </w:rPr>
              <w:t>Free</w:t>
            </w:r>
          </w:p>
        </w:tc>
      </w:tr>
    </w:tbl>
    <w:p>
      <w:pPr>
        <w:spacing w:after="40"/>
      </w:pPr>
    </w:p>
    <w:p>
      <w:r>
        <w:br w:type="page"/>
      </w:r>
    </w:p>
    <w:p>
      <w:pPr>
        <w:spacing w:before="320" w:after="80"/>
        <w:pBdr>
          <w:bottom w:val="single" w:sz="6" w:space="1" w:color="111111"/>
        </w:pBdr>
      </w:pPr>
      <w:r>
        <w:rPr>
          <w:b/>
          <w:i w:val="0"/>
          <w:color w:val="111111"/>
          <w:sz w:val="34"/>
        </w:rPr>
        <w:t>3.  Sourcing</w:t>
      </w:r>
    </w:p>
    <w:p>
      <w:pPr>
        <w:spacing w:before="0" w:after="160"/>
      </w:pPr>
      <w:r>
        <w:rPr>
          <w:b w:val="0"/>
          <w:i w:val="0"/>
          <w:color w:val="444444"/>
          <w:sz w:val="22"/>
        </w:rPr>
        <w:t>A source can be reached two ways: the publisher's own RSS feed, or a Google News site-restricted search standing in for it. Where a publisher feed is configured, a Google News search is registered behind it as an automatic fallback — if the publisher feed returns nothing at fetch time, the search is tried instead. That fallback is what lets an unverified publisher URL be added safely: if the URL turns out to be wrong, the search answers exactly as it did before and nothing goes missing.</w:t>
      </w:r>
    </w:p>
    <w:p>
      <w:pPr>
        <w:spacing w:before="0" w:after="160"/>
      </w:pPr>
      <w:r>
        <w:rPr>
          <w:b w:val="0"/>
          <w:i w:val="0"/>
          <w:color w:val="444444"/>
          <w:sz w:val="22"/>
        </w:rPr>
        <w:t>That protection currently covers 29 of the 30 feeds that have a publisher URL. It does not extend to the other 86, because there is nothing to fall back from — a search-only feed is already the fallback, with no publisher feed in front of it.</w:t>
      </w:r>
    </w:p>
    <w:p>
      <w:pPr>
        <w:spacing w:before="120" w:after="200"/>
        <w:ind w:left="288"/>
        <w:pBdr>
          <w:left w:val="single" w:sz="12" w:space="6" w:color="111111"/>
        </w:pBdr>
      </w:pPr>
      <w:r>
        <w:rPr>
          <w:b/>
          <w:color w:val="111111"/>
          <w:sz w:val="20"/>
        </w:rPr>
        <w:t xml:space="preserve">The vulnerability this guards against:  </w:t>
      </w:r>
      <w:r>
        <w:rPr>
          <w:color w:val="444444"/>
          <w:sz w:val="21"/>
        </w:rPr>
        <w:t>A brief built mostly on Google News searches has a single point of failure. One change upstream takes most of the sources at once, silently — the issue does not error, it just arrives thin.</w:t>
      </w:r>
    </w:p>
    <w:p>
      <w:pPr>
        <w:spacing w:before="0" w:after="160"/>
      </w:pPr>
      <w:r>
        <w:rPr>
          <w:b w:val="0"/>
          <w:i w:val="0"/>
          <w:color w:val="444444"/>
          <w:sz w:val="22"/>
        </w:rPr>
        <w:t>Two further rules govern what survives collection. A keyword filter strips world news out of general wires, but it is not applied to Japanese government or Japanese-language feeds: a real ministry headline often contains none of its English tokens, and applying the filter there deleted most of them. And only the highest-ranked articles per tier reach the model, ordered so that primary documents and the outlets the editorial rules name are never crowded out by whichever feed happened to publish most that morning.</w:t>
      </w:r>
    </w:p>
    <w:p>
      <w:pPr>
        <w:spacing w:before="0" w:after="80"/>
      </w:pPr>
      <w:r>
        <w:rPr>
          <w:b/>
          <w:i w:val="0"/>
          <w:color w:val="111111"/>
          <w:sz w:val="24"/>
        </w:rPr>
        <w:t>Where the sources stand today</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3024"/>
            <w:shd w:val="clear" w:color="auto" w:fill="111111"/>
          </w:tcPr>
          <w:p>
            <w:pPr>
              <w:spacing w:before="40" w:after="40"/>
            </w:pPr>
            <w:r>
              <w:rPr>
                <w:b/>
                <w:color w:val="FFFFFF"/>
                <w:sz w:val="18"/>
              </w:rPr>
              <w:t>Collection</w:t>
            </w:r>
          </w:p>
        </w:tc>
        <w:tc>
          <w:tcPr>
            <w:tcW w:type="dxa" w:w="1152"/>
            <w:shd w:val="clear" w:color="auto" w:fill="111111"/>
          </w:tcPr>
          <w:p>
            <w:pPr>
              <w:spacing w:before="40" w:after="40"/>
            </w:pPr>
            <w:r>
              <w:rPr>
                <w:b/>
                <w:color w:val="FFFFFF"/>
                <w:sz w:val="18"/>
              </w:rPr>
              <w:t>Feeds</w:t>
            </w:r>
          </w:p>
        </w:tc>
        <w:tc>
          <w:tcPr>
            <w:tcW w:type="dxa" w:w="1440"/>
            <w:shd w:val="clear" w:color="auto" w:fill="111111"/>
          </w:tcPr>
          <w:p>
            <w:pPr>
              <w:spacing w:before="40" w:after="40"/>
            </w:pPr>
            <w:r>
              <w:rPr>
                <w:b/>
                <w:color w:val="FFFFFF"/>
                <w:sz w:val="18"/>
              </w:rPr>
              <w:t>Native RSS</w:t>
            </w:r>
          </w:p>
        </w:tc>
        <w:tc>
          <w:tcPr>
            <w:tcW w:type="dxa" w:w="1440"/>
            <w:shd w:val="clear" w:color="auto" w:fill="111111"/>
          </w:tcPr>
          <w:p>
            <w:pPr>
              <w:spacing w:before="40" w:after="40"/>
            </w:pPr>
            <w:r>
              <w:rPr>
                <w:b/>
                <w:color w:val="FFFFFF"/>
                <w:sz w:val="18"/>
              </w:rPr>
              <w:t>Search only</w:t>
            </w:r>
          </w:p>
        </w:tc>
        <w:tc>
          <w:tcPr>
            <w:tcW w:type="dxa" w:w="1872"/>
            <w:shd w:val="clear" w:color="auto" w:fill="111111"/>
          </w:tcPr>
          <w:p>
            <w:pPr>
              <w:spacing w:before="40" w:after="40"/>
            </w:pPr>
            <w:r>
              <w:rPr>
                <w:b/>
                <w:color w:val="FFFFFF"/>
                <w:sz w:val="18"/>
              </w:rPr>
              <w:t>Recency window</w:t>
            </w:r>
          </w:p>
        </w:tc>
      </w:tr>
      <w:tr>
        <w:tc>
          <w:tcPr>
            <w:tcW w:type="dxa" w:w="3024"/>
          </w:tcPr>
          <w:p>
            <w:pPr>
              <w:spacing w:before="40" w:after="40"/>
            </w:pPr>
            <w:r>
              <w:rPr>
                <w:b w:val="0"/>
                <w:sz w:val="19"/>
              </w:rPr>
              <w:t>Tier 1 — News</w:t>
            </w:r>
          </w:p>
        </w:tc>
        <w:tc>
          <w:tcPr>
            <w:tcW w:type="dxa" w:w="1152"/>
          </w:tcPr>
          <w:p>
            <w:pPr>
              <w:spacing w:before="40" w:after="40"/>
            </w:pPr>
            <w:r>
              <w:rPr>
                <w:b w:val="0"/>
                <w:sz w:val="19"/>
              </w:rPr>
              <w:t>47</w:t>
            </w:r>
          </w:p>
        </w:tc>
        <w:tc>
          <w:tcPr>
            <w:tcW w:type="dxa" w:w="1440"/>
          </w:tcPr>
          <w:p>
            <w:pPr>
              <w:spacing w:before="40" w:after="40"/>
            </w:pPr>
            <w:r>
              <w:rPr>
                <w:b w:val="0"/>
                <w:sz w:val="19"/>
              </w:rPr>
              <w:t>26</w:t>
            </w:r>
          </w:p>
        </w:tc>
        <w:tc>
          <w:tcPr>
            <w:tcW w:type="dxa" w:w="1440"/>
          </w:tcPr>
          <w:p>
            <w:pPr>
              <w:spacing w:before="40" w:after="40"/>
            </w:pPr>
            <w:r>
              <w:rPr>
                <w:b w:val="0"/>
                <w:sz w:val="19"/>
              </w:rPr>
              <w:t>21</w:t>
            </w:r>
          </w:p>
        </w:tc>
        <w:tc>
          <w:tcPr>
            <w:tcW w:type="dxa" w:w="1872"/>
          </w:tcPr>
          <w:p>
            <w:pPr>
              <w:spacing w:before="40" w:after="40"/>
            </w:pPr>
            <w:r>
              <w:rPr>
                <w:b w:val="0"/>
                <w:sz w:val="19"/>
              </w:rPr>
              <w:t>24-hour window</w:t>
            </w:r>
          </w:p>
        </w:tc>
      </w:tr>
      <w:tr>
        <w:tc>
          <w:tcPr>
            <w:tcW w:type="dxa" w:w="3024"/>
            <w:shd w:val="clear" w:color="auto" w:fill="F2F2F2"/>
          </w:tcPr>
          <w:p>
            <w:pPr>
              <w:spacing w:before="40" w:after="40"/>
            </w:pPr>
            <w:r>
              <w:rPr>
                <w:b w:val="0"/>
                <w:sz w:val="19"/>
              </w:rPr>
              <w:t>Tier 2 — Analysis</w:t>
            </w:r>
          </w:p>
        </w:tc>
        <w:tc>
          <w:tcPr>
            <w:tcW w:type="dxa" w:w="1152"/>
            <w:shd w:val="clear" w:color="auto" w:fill="F2F2F2"/>
          </w:tcPr>
          <w:p>
            <w:pPr>
              <w:spacing w:before="40" w:after="40"/>
            </w:pPr>
            <w:r>
              <w:rPr>
                <w:b w:val="0"/>
                <w:sz w:val="19"/>
              </w:rPr>
              <w:t>30</w:t>
            </w:r>
          </w:p>
        </w:tc>
        <w:tc>
          <w:tcPr>
            <w:tcW w:type="dxa" w:w="1440"/>
            <w:shd w:val="clear" w:color="auto" w:fill="F2F2F2"/>
          </w:tcPr>
          <w:p>
            <w:pPr>
              <w:spacing w:before="40" w:after="40"/>
            </w:pPr>
            <w:r>
              <w:rPr>
                <w:b w:val="0"/>
                <w:sz w:val="19"/>
              </w:rPr>
              <w:t>1</w:t>
            </w:r>
          </w:p>
        </w:tc>
        <w:tc>
          <w:tcPr>
            <w:tcW w:type="dxa" w:w="1440"/>
            <w:shd w:val="clear" w:color="auto" w:fill="F2F2F2"/>
          </w:tcPr>
          <w:p>
            <w:pPr>
              <w:spacing w:before="40" w:after="40"/>
            </w:pPr>
            <w:r>
              <w:rPr>
                <w:b w:val="0"/>
                <w:sz w:val="19"/>
              </w:rPr>
              <w:t>29</w:t>
            </w:r>
          </w:p>
        </w:tc>
        <w:tc>
          <w:tcPr>
            <w:tcW w:type="dxa" w:w="1872"/>
            <w:shd w:val="clear" w:color="auto" w:fill="F2F2F2"/>
          </w:tcPr>
          <w:p>
            <w:pPr>
              <w:spacing w:before="40" w:after="40"/>
            </w:pPr>
            <w:r>
              <w:rPr>
                <w:b w:val="0"/>
                <w:sz w:val="19"/>
              </w:rPr>
              <w:t>36-hour window</w:t>
            </w:r>
          </w:p>
        </w:tc>
      </w:tr>
      <w:tr>
        <w:tc>
          <w:tcPr>
            <w:tcW w:type="dxa" w:w="3024"/>
          </w:tcPr>
          <w:p>
            <w:pPr>
              <w:spacing w:before="40" w:after="40"/>
            </w:pPr>
            <w:r>
              <w:rPr>
                <w:b w:val="0"/>
                <w:sz w:val="19"/>
              </w:rPr>
              <w:t>Tier 3 — Academic</w:t>
            </w:r>
          </w:p>
        </w:tc>
        <w:tc>
          <w:tcPr>
            <w:tcW w:type="dxa" w:w="1152"/>
          </w:tcPr>
          <w:p>
            <w:pPr>
              <w:spacing w:before="40" w:after="40"/>
            </w:pPr>
            <w:r>
              <w:rPr>
                <w:b w:val="0"/>
                <w:sz w:val="19"/>
              </w:rPr>
              <w:t>18</w:t>
            </w:r>
          </w:p>
        </w:tc>
        <w:tc>
          <w:tcPr>
            <w:tcW w:type="dxa" w:w="1440"/>
          </w:tcPr>
          <w:p>
            <w:pPr>
              <w:spacing w:before="40" w:after="40"/>
            </w:pPr>
            <w:r>
              <w:rPr>
                <w:b w:val="0"/>
                <w:sz w:val="19"/>
              </w:rPr>
              <w:t>0</w:t>
            </w:r>
          </w:p>
        </w:tc>
        <w:tc>
          <w:tcPr>
            <w:tcW w:type="dxa" w:w="1440"/>
          </w:tcPr>
          <w:p>
            <w:pPr>
              <w:spacing w:before="40" w:after="40"/>
            </w:pPr>
            <w:r>
              <w:rPr>
                <w:b w:val="0"/>
                <w:sz w:val="19"/>
              </w:rPr>
              <w:t>18</w:t>
            </w:r>
          </w:p>
        </w:tc>
        <w:tc>
          <w:tcPr>
            <w:tcW w:type="dxa" w:w="1872"/>
          </w:tcPr>
          <w:p>
            <w:pPr>
              <w:spacing w:before="40" w:after="40"/>
            </w:pPr>
            <w:r>
              <w:rPr>
                <w:b w:val="0"/>
                <w:sz w:val="19"/>
              </w:rPr>
              <w:t>72-hour window</w:t>
            </w:r>
          </w:p>
        </w:tc>
      </w:tr>
      <w:tr>
        <w:tc>
          <w:tcPr>
            <w:tcW w:type="dxa" w:w="3024"/>
            <w:shd w:val="clear" w:color="auto" w:fill="F2F2F2"/>
          </w:tcPr>
          <w:p>
            <w:pPr>
              <w:spacing w:before="40" w:after="40"/>
            </w:pPr>
            <w:r>
              <w:rPr>
                <w:b w:val="0"/>
                <w:sz w:val="19"/>
              </w:rPr>
              <w:t>Tier 4 — Primary statements</w:t>
            </w:r>
          </w:p>
        </w:tc>
        <w:tc>
          <w:tcPr>
            <w:tcW w:type="dxa" w:w="1152"/>
            <w:shd w:val="clear" w:color="auto" w:fill="F2F2F2"/>
          </w:tcPr>
          <w:p>
            <w:pPr>
              <w:spacing w:before="40" w:after="40"/>
            </w:pPr>
            <w:r>
              <w:rPr>
                <w:b w:val="0"/>
                <w:sz w:val="19"/>
              </w:rPr>
              <w:t>9</w:t>
            </w:r>
          </w:p>
        </w:tc>
        <w:tc>
          <w:tcPr>
            <w:tcW w:type="dxa" w:w="1440"/>
            <w:shd w:val="clear" w:color="auto" w:fill="F2F2F2"/>
          </w:tcPr>
          <w:p>
            <w:pPr>
              <w:spacing w:before="40" w:after="40"/>
            </w:pPr>
            <w:r>
              <w:rPr>
                <w:b w:val="0"/>
                <w:sz w:val="19"/>
              </w:rPr>
              <w:t>3</w:t>
            </w:r>
          </w:p>
        </w:tc>
        <w:tc>
          <w:tcPr>
            <w:tcW w:type="dxa" w:w="1440"/>
            <w:shd w:val="clear" w:color="auto" w:fill="F2F2F2"/>
          </w:tcPr>
          <w:p>
            <w:pPr>
              <w:spacing w:before="40" w:after="40"/>
            </w:pPr>
            <w:r>
              <w:rPr>
                <w:b w:val="0"/>
                <w:sz w:val="19"/>
              </w:rPr>
              <w:t>6</w:t>
            </w:r>
          </w:p>
        </w:tc>
        <w:tc>
          <w:tcPr>
            <w:tcW w:type="dxa" w:w="1872"/>
            <w:shd w:val="clear" w:color="auto" w:fill="F2F2F2"/>
          </w:tcPr>
          <w:p>
            <w:pPr>
              <w:spacing w:before="40" w:after="40"/>
            </w:pPr>
            <w:r>
              <w:rPr>
                <w:b w:val="0"/>
                <w:sz w:val="19"/>
              </w:rPr>
              <w:t>48-hour window</w:t>
            </w:r>
          </w:p>
        </w:tc>
      </w:tr>
      <w:tr>
        <w:tc>
          <w:tcPr>
            <w:tcW w:type="dxa" w:w="3024"/>
          </w:tcPr>
          <w:p>
            <w:pPr>
              <w:spacing w:before="40" w:after="40"/>
            </w:pPr>
            <w:r>
              <w:rPr>
                <w:b w:val="0"/>
                <w:sz w:val="19"/>
              </w:rPr>
              <w:t>PM appearance tracker</w:t>
            </w:r>
          </w:p>
        </w:tc>
        <w:tc>
          <w:tcPr>
            <w:tcW w:type="dxa" w:w="1152"/>
          </w:tcPr>
          <w:p>
            <w:pPr>
              <w:spacing w:before="40" w:after="40"/>
            </w:pPr>
            <w:r>
              <w:rPr>
                <w:b w:val="0"/>
                <w:sz w:val="19"/>
              </w:rPr>
              <w:t>5</w:t>
            </w:r>
          </w:p>
        </w:tc>
        <w:tc>
          <w:tcPr>
            <w:tcW w:type="dxa" w:w="1440"/>
          </w:tcPr>
          <w:p>
            <w:pPr>
              <w:spacing w:before="40" w:after="40"/>
            </w:pPr>
            <w:r>
              <w:rPr>
                <w:b w:val="0"/>
                <w:sz w:val="19"/>
              </w:rPr>
              <w:t>0</w:t>
            </w:r>
          </w:p>
        </w:tc>
        <w:tc>
          <w:tcPr>
            <w:tcW w:type="dxa" w:w="1440"/>
          </w:tcPr>
          <w:p>
            <w:pPr>
              <w:spacing w:before="40" w:after="40"/>
            </w:pPr>
            <w:r>
              <w:rPr>
                <w:b w:val="0"/>
                <w:sz w:val="19"/>
              </w:rPr>
              <w:t>5</w:t>
            </w:r>
          </w:p>
        </w:tc>
        <w:tc>
          <w:tcPr>
            <w:tcW w:type="dxa" w:w="1872"/>
          </w:tcPr>
          <w:p>
            <w:pPr>
              <w:spacing w:before="40" w:after="40"/>
            </w:pPr>
            <w:r>
              <w:rPr>
                <w:b w:val="0"/>
                <w:sz w:val="19"/>
              </w:rPr>
              <w:t>30-day window</w:t>
            </w:r>
          </w:p>
        </w:tc>
      </w:tr>
      <w:tr>
        <w:tc>
          <w:tcPr>
            <w:tcW w:type="dxa" w:w="3024"/>
            <w:shd w:val="clear" w:color="auto" w:fill="F2F2F2"/>
          </w:tcPr>
          <w:p>
            <w:pPr>
              <w:spacing w:before="40" w:after="40"/>
            </w:pPr>
            <w:r>
              <w:rPr>
                <w:b w:val="0"/>
                <w:sz w:val="19"/>
              </w:rPr>
              <w:t>Polling</w:t>
            </w:r>
          </w:p>
        </w:tc>
        <w:tc>
          <w:tcPr>
            <w:tcW w:type="dxa" w:w="1152"/>
            <w:shd w:val="clear" w:color="auto" w:fill="F2F2F2"/>
          </w:tcPr>
          <w:p>
            <w:pPr>
              <w:spacing w:before="40" w:after="40"/>
            </w:pPr>
            <w:r>
              <w:rPr>
                <w:b w:val="0"/>
                <w:sz w:val="19"/>
              </w:rPr>
              <w:t>7</w:t>
            </w:r>
          </w:p>
        </w:tc>
        <w:tc>
          <w:tcPr>
            <w:tcW w:type="dxa" w:w="1440"/>
            <w:shd w:val="clear" w:color="auto" w:fill="F2F2F2"/>
          </w:tcPr>
          <w:p>
            <w:pPr>
              <w:spacing w:before="40" w:after="40"/>
            </w:pPr>
            <w:r>
              <w:rPr>
                <w:b w:val="0"/>
                <w:sz w:val="19"/>
              </w:rPr>
              <w:t>0</w:t>
            </w:r>
          </w:p>
        </w:tc>
        <w:tc>
          <w:tcPr>
            <w:tcW w:type="dxa" w:w="1440"/>
            <w:shd w:val="clear" w:color="auto" w:fill="F2F2F2"/>
          </w:tcPr>
          <w:p>
            <w:pPr>
              <w:spacing w:before="40" w:after="40"/>
            </w:pPr>
            <w:r>
              <w:rPr>
                <w:b w:val="0"/>
                <w:sz w:val="19"/>
              </w:rPr>
              <w:t>7</w:t>
            </w:r>
          </w:p>
        </w:tc>
        <w:tc>
          <w:tcPr>
            <w:tcW w:type="dxa" w:w="1872"/>
            <w:shd w:val="clear" w:color="auto" w:fill="F2F2F2"/>
          </w:tcPr>
          <w:p>
            <w:pPr>
              <w:spacing w:before="40" w:after="40"/>
            </w:pPr>
            <w:r>
              <w:rPr>
                <w:b w:val="0"/>
                <w:sz w:val="19"/>
              </w:rPr>
              <w:t>72-hour window</w:t>
            </w:r>
          </w:p>
        </w:tc>
      </w:tr>
      <w:tr>
        <w:tc>
          <w:tcPr>
            <w:tcW w:type="dxa" w:w="3024"/>
          </w:tcPr>
          <w:p>
            <w:pPr>
              <w:spacing w:before="40" w:after="40"/>
            </w:pPr>
            <w:r>
              <w:rPr>
                <w:b/>
                <w:sz w:val="19"/>
              </w:rPr>
              <w:t>Total</w:t>
            </w:r>
          </w:p>
        </w:tc>
        <w:tc>
          <w:tcPr>
            <w:tcW w:type="dxa" w:w="1152"/>
          </w:tcPr>
          <w:p>
            <w:pPr>
              <w:spacing w:before="40" w:after="40"/>
            </w:pPr>
            <w:r>
              <w:rPr>
                <w:b/>
                <w:sz w:val="19"/>
              </w:rPr>
              <w:t>116</w:t>
            </w:r>
          </w:p>
        </w:tc>
        <w:tc>
          <w:tcPr>
            <w:tcW w:type="dxa" w:w="1440"/>
          </w:tcPr>
          <w:p>
            <w:pPr>
              <w:spacing w:before="40" w:after="40"/>
            </w:pPr>
            <w:r>
              <w:rPr>
                <w:b/>
                <w:sz w:val="19"/>
              </w:rPr>
              <w:t>30</w:t>
            </w:r>
          </w:p>
        </w:tc>
        <w:tc>
          <w:tcPr>
            <w:tcW w:type="dxa" w:w="1440"/>
          </w:tcPr>
          <w:p>
            <w:pPr>
              <w:spacing w:before="40" w:after="40"/>
            </w:pPr>
            <w:r>
              <w:rPr>
                <w:b/>
                <w:sz w:val="19"/>
              </w:rPr>
              <w:t>86</w:t>
            </w:r>
          </w:p>
        </w:tc>
        <w:tc>
          <w:tcPr>
            <w:tcW w:type="dxa" w:w="1872"/>
          </w:tcPr>
          <w:p>
            <w:pPr>
              <w:spacing w:before="40" w:after="40"/>
            </w:pPr>
            <w:r>
              <w:rPr>
                <w:b/>
                <w:sz w:val="19"/>
              </w:rPr>
            </w:r>
          </w:p>
        </w:tc>
      </w:tr>
    </w:tbl>
    <w:p>
      <w:pPr>
        <w:spacing w:after="40"/>
      </w:pPr>
    </w:p>
    <w:p>
      <w:pPr>
        <w:spacing w:before="120" w:after="200"/>
        <w:ind w:left="288"/>
        <w:pBdr>
          <w:left w:val="single" w:sz="12" w:space="6" w:color="111111"/>
        </w:pBdr>
      </w:pPr>
      <w:r>
        <w:rPr>
          <w:b/>
          <w:color w:val="111111"/>
          <w:sz w:val="20"/>
        </w:rPr>
        <w:t xml:space="preserve">Read this row first:  </w:t>
      </w:r>
      <w:r>
        <w:rPr>
          <w:color w:val="444444"/>
          <w:sz w:val="21"/>
        </w:rPr>
        <w:t>86 of 116 feeds have no publisher RSS in front of them and depend entirely on Google's index. Tier 1 — the wires, the Japanese dailies and the government sites — is much the healthiest at 26 of 47. Tiers 2 and 3 are almost wholly search-dependent, at 1 of 30 and 0 of 18. Section 8 sets out what to do about it.</w:t>
      </w:r>
    </w:p>
    <w:p>
      <w:r>
        <w:br w:type="page"/>
      </w:r>
    </w:p>
    <w:p>
      <w:pPr>
        <w:spacing w:before="320" w:after="80"/>
        <w:pBdr>
          <w:bottom w:val="single" w:sz="6" w:space="1" w:color="111111"/>
        </w:pBdr>
      </w:pPr>
      <w:r>
        <w:rPr>
          <w:b/>
          <w:i w:val="0"/>
          <w:color w:val="111111"/>
          <w:sz w:val="34"/>
        </w:rPr>
        <w:t>4.  How Articles Are Chosen</w:t>
      </w:r>
    </w:p>
    <w:p>
      <w:pPr>
        <w:spacing w:before="0" w:after="160"/>
      </w:pPr>
      <w:r>
        <w:rPr>
          <w:b w:val="0"/>
          <w:i w:val="0"/>
          <w:color w:val="444444"/>
          <w:sz w:val="22"/>
        </w:rPr>
        <w:t>Collection returns far more than one issue can hold. Two mechanisms decide what the model is allowed to see: a relevance filter applied at collection, and a ranked cut applied when the prompt is built.</w:t>
      </w:r>
    </w:p>
    <w:p>
      <w:pPr>
        <w:spacing w:before="0" w:after="80"/>
      </w:pPr>
      <w:r>
        <w:rPr>
          <w:b/>
          <w:i w:val="0"/>
          <w:color w:val="111111"/>
          <w:sz w:val="24"/>
        </w:rPr>
        <w:t>The relevance filter, and what is exempt from it</w:t>
      </w:r>
    </w:p>
    <w:p>
      <w:pPr>
        <w:spacing w:before="0" w:after="120"/>
      </w:pPr>
      <w:r>
        <w:rPr>
          <w:b w:val="0"/>
          <w:i w:val="0"/>
          <w:color w:val="444444"/>
          <w:sz w:val="21"/>
        </w:rPr>
        <w:t>General wires carry the whole world, so a Japan keyword filter strips their output down to Japan coverage. Applied to a Japanese ministry feed that same filter deletes almost everything, because a real ministry headline often contains none of the English tokens it looks for. The feeds below are therefore exempt: everything they publish reaches the ranking stage. There are 14 of them, and any new Japanese government or Japanese-language feed has to be added to that set or most of it is discarded before the model ever sees it.</w:t>
      </w:r>
    </w:p>
    <w:tbl>
      <w:tblPr>
        <w:tblStyle w:val="TableGrid"/>
        <w:tblW w:type="auto" w:w="0"/>
        <w:jc w:val="left"/>
        <w:tblLook w:firstColumn="1" w:firstRow="1" w:lastColumn="0" w:lastRow="0" w:noHBand="0" w:noVBand="1" w:val="04A0"/>
      </w:tblPr>
      <w:tblGrid>
        <w:gridCol w:w="4703"/>
        <w:gridCol w:w="4703"/>
      </w:tblGrid>
      <w:tr>
        <w:tc>
          <w:tcPr>
            <w:tcW w:type="dxa" w:w="5184"/>
            <w:shd w:val="clear" w:color="auto" w:fill="111111"/>
          </w:tcPr>
          <w:p>
            <w:pPr>
              <w:spacing w:before="40" w:after="40"/>
            </w:pPr>
            <w:r>
              <w:rPr>
                <w:b/>
                <w:color w:val="FFFFFF"/>
                <w:sz w:val="18"/>
              </w:rPr>
              <w:t>Exempt from the keyword filter</w:t>
            </w:r>
          </w:p>
        </w:tc>
        <w:tc>
          <w:tcPr>
            <w:tcW w:type="dxa" w:w="3744"/>
            <w:shd w:val="clear" w:color="auto" w:fill="111111"/>
          </w:tcPr>
          <w:p>
            <w:pPr>
              <w:spacing w:before="40" w:after="40"/>
            </w:pPr>
            <w:r>
              <w:rPr>
                <w:b/>
                <w:color w:val="FFFFFF"/>
                <w:sz w:val="18"/>
              </w:rPr>
            </w:r>
          </w:p>
        </w:tc>
      </w:tr>
      <w:tr>
        <w:tc>
          <w:tcPr>
            <w:tcW w:type="dxa" w:w="5184"/>
          </w:tcPr>
          <w:p>
            <w:pPr>
              <w:spacing w:before="40" w:after="40"/>
            </w:pPr>
            <w:r>
              <w:rPr>
                <w:b w:val="0"/>
                <w:sz w:val="19"/>
              </w:rPr>
              <w:t>Asahi AJW</w:t>
            </w:r>
          </w:p>
        </w:tc>
        <w:tc>
          <w:tcPr>
            <w:tcW w:type="dxa" w:w="3744"/>
          </w:tcPr>
          <w:p>
            <w:pPr>
              <w:spacing w:before="40" w:after="40"/>
            </w:pPr>
            <w:r>
              <w:rPr>
                <w:b w:val="0"/>
                <w:sz w:val="19"/>
              </w:rPr>
            </w:r>
          </w:p>
        </w:tc>
      </w:tr>
      <w:tr>
        <w:tc>
          <w:tcPr>
            <w:tcW w:type="dxa" w:w="5184"/>
            <w:shd w:val="clear" w:color="auto" w:fill="F2F2F2"/>
          </w:tcPr>
          <w:p>
            <w:pPr>
              <w:spacing w:before="40" w:after="40"/>
            </w:pPr>
            <w:r>
              <w:rPr>
                <w:b w:val="0"/>
                <w:sz w:val="19"/>
              </w:rPr>
              <w:t>BOJ statements</w:t>
            </w:r>
          </w:p>
        </w:tc>
        <w:tc>
          <w:tcPr>
            <w:tcW w:type="dxa" w:w="3744"/>
            <w:shd w:val="clear" w:color="auto" w:fill="F2F2F2"/>
          </w:tcPr>
          <w:p>
            <w:pPr>
              <w:spacing w:before="40" w:after="40"/>
            </w:pPr>
            <w:r>
              <w:rPr>
                <w:b w:val="0"/>
                <w:sz w:val="19"/>
              </w:rPr>
            </w:r>
          </w:p>
        </w:tc>
      </w:tr>
      <w:tr>
        <w:tc>
          <w:tcPr>
            <w:tcW w:type="dxa" w:w="5184"/>
          </w:tcPr>
          <w:p>
            <w:pPr>
              <w:spacing w:before="40" w:after="40"/>
            </w:pPr>
            <w:r>
              <w:rPr>
                <w:b w:val="0"/>
                <w:sz w:val="19"/>
              </w:rPr>
              <w:t>Bank of Japan</w:t>
            </w:r>
          </w:p>
        </w:tc>
        <w:tc>
          <w:tcPr>
            <w:tcW w:type="dxa" w:w="3744"/>
          </w:tcPr>
          <w:p>
            <w:pPr>
              <w:spacing w:before="40" w:after="40"/>
            </w:pPr>
            <w:r>
              <w:rPr>
                <w:b w:val="0"/>
                <w:sz w:val="19"/>
              </w:rPr>
            </w:r>
          </w:p>
        </w:tc>
      </w:tr>
      <w:tr>
        <w:tc>
          <w:tcPr>
            <w:tcW w:type="dxa" w:w="5184"/>
            <w:shd w:val="clear" w:color="auto" w:fill="F2F2F2"/>
          </w:tcPr>
          <w:p>
            <w:pPr>
              <w:spacing w:before="40" w:after="40"/>
            </w:pPr>
            <w:r>
              <w:rPr>
                <w:b w:val="0"/>
                <w:sz w:val="19"/>
              </w:rPr>
              <w:t>Chief Cabinet Sec</w:t>
            </w:r>
          </w:p>
        </w:tc>
        <w:tc>
          <w:tcPr>
            <w:tcW w:type="dxa" w:w="3744"/>
            <w:shd w:val="clear" w:color="auto" w:fill="F2F2F2"/>
          </w:tcPr>
          <w:p>
            <w:pPr>
              <w:spacing w:before="40" w:after="40"/>
            </w:pPr>
            <w:r>
              <w:rPr>
                <w:b w:val="0"/>
                <w:sz w:val="19"/>
              </w:rPr>
            </w:r>
          </w:p>
        </w:tc>
      </w:tr>
      <w:tr>
        <w:tc>
          <w:tcPr>
            <w:tcW w:type="dxa" w:w="5184"/>
          </w:tcPr>
          <w:p>
            <w:pPr>
              <w:spacing w:before="40" w:after="40"/>
            </w:pPr>
            <w:r>
              <w:rPr>
                <w:b w:val="0"/>
                <w:sz w:val="19"/>
              </w:rPr>
              <w:t>Kantei / PM</w:t>
            </w:r>
          </w:p>
        </w:tc>
        <w:tc>
          <w:tcPr>
            <w:tcW w:type="dxa" w:w="3744"/>
          </w:tcPr>
          <w:p>
            <w:pPr>
              <w:spacing w:before="40" w:after="40"/>
            </w:pPr>
            <w:r>
              <w:rPr>
                <w:b w:val="0"/>
                <w:sz w:val="19"/>
              </w:rPr>
            </w:r>
          </w:p>
        </w:tc>
      </w:tr>
      <w:tr>
        <w:tc>
          <w:tcPr>
            <w:tcW w:type="dxa" w:w="5184"/>
            <w:shd w:val="clear" w:color="auto" w:fill="F2F2F2"/>
          </w:tcPr>
          <w:p>
            <w:pPr>
              <w:spacing w:before="40" w:after="40"/>
            </w:pPr>
            <w:r>
              <w:rPr>
                <w:b w:val="0"/>
                <w:sz w:val="19"/>
              </w:rPr>
              <w:t>Kantei / PMO</w:t>
            </w:r>
          </w:p>
        </w:tc>
        <w:tc>
          <w:tcPr>
            <w:tcW w:type="dxa" w:w="3744"/>
            <w:shd w:val="clear" w:color="auto" w:fill="F2F2F2"/>
          </w:tcPr>
          <w:p>
            <w:pPr>
              <w:spacing w:before="40" w:after="40"/>
            </w:pPr>
            <w:r>
              <w:rPr>
                <w:b w:val="0"/>
                <w:sz w:val="19"/>
              </w:rPr>
            </w:r>
          </w:p>
        </w:tc>
      </w:tr>
      <w:tr>
        <w:tc>
          <w:tcPr>
            <w:tcW w:type="dxa" w:w="5184"/>
          </w:tcPr>
          <w:p>
            <w:pPr>
              <w:spacing w:before="40" w:after="40"/>
            </w:pPr>
            <w:r>
              <w:rPr>
                <w:b w:val="0"/>
                <w:sz w:val="19"/>
              </w:rPr>
              <w:t>METI Japan</w:t>
            </w:r>
          </w:p>
        </w:tc>
        <w:tc>
          <w:tcPr>
            <w:tcW w:type="dxa" w:w="3744"/>
          </w:tcPr>
          <w:p>
            <w:pPr>
              <w:spacing w:before="40" w:after="40"/>
            </w:pPr>
            <w:r>
              <w:rPr>
                <w:b w:val="0"/>
                <w:sz w:val="19"/>
              </w:rPr>
            </w:r>
          </w:p>
        </w:tc>
      </w:tr>
      <w:tr>
        <w:tc>
          <w:tcPr>
            <w:tcW w:type="dxa" w:w="5184"/>
            <w:shd w:val="clear" w:color="auto" w:fill="F2F2F2"/>
          </w:tcPr>
          <w:p>
            <w:pPr>
              <w:spacing w:before="40" w:after="40"/>
            </w:pPr>
            <w:r>
              <w:rPr>
                <w:b w:val="0"/>
                <w:sz w:val="19"/>
              </w:rPr>
              <w:t>METI statements</w:t>
            </w:r>
          </w:p>
        </w:tc>
        <w:tc>
          <w:tcPr>
            <w:tcW w:type="dxa" w:w="3744"/>
            <w:shd w:val="clear" w:color="auto" w:fill="F2F2F2"/>
          </w:tcPr>
          <w:p>
            <w:pPr>
              <w:spacing w:before="40" w:after="40"/>
            </w:pPr>
            <w:r>
              <w:rPr>
                <w:b w:val="0"/>
                <w:sz w:val="19"/>
              </w:rPr>
            </w:r>
          </w:p>
        </w:tc>
      </w:tr>
      <w:tr>
        <w:tc>
          <w:tcPr>
            <w:tcW w:type="dxa" w:w="5184"/>
          </w:tcPr>
          <w:p>
            <w:pPr>
              <w:spacing w:before="40" w:after="40"/>
            </w:pPr>
            <w:r>
              <w:rPr>
                <w:b w:val="0"/>
                <w:sz w:val="19"/>
              </w:rPr>
              <w:t>MOD / Joint Staff</w:t>
            </w:r>
          </w:p>
        </w:tc>
        <w:tc>
          <w:tcPr>
            <w:tcW w:type="dxa" w:w="3744"/>
          </w:tcPr>
          <w:p>
            <w:pPr>
              <w:spacing w:before="40" w:after="40"/>
            </w:pPr>
            <w:r>
              <w:rPr>
                <w:b w:val="0"/>
                <w:sz w:val="19"/>
              </w:rPr>
            </w:r>
          </w:p>
        </w:tc>
      </w:tr>
      <w:tr>
        <w:tc>
          <w:tcPr>
            <w:tcW w:type="dxa" w:w="5184"/>
            <w:shd w:val="clear" w:color="auto" w:fill="F2F2F2"/>
          </w:tcPr>
          <w:p>
            <w:pPr>
              <w:spacing w:before="40" w:after="40"/>
            </w:pPr>
            <w:r>
              <w:rPr>
                <w:b w:val="0"/>
                <w:sz w:val="19"/>
              </w:rPr>
              <w:t>MOD Japan</w:t>
            </w:r>
          </w:p>
        </w:tc>
        <w:tc>
          <w:tcPr>
            <w:tcW w:type="dxa" w:w="3744"/>
            <w:shd w:val="clear" w:color="auto" w:fill="F2F2F2"/>
          </w:tcPr>
          <w:p>
            <w:pPr>
              <w:spacing w:before="40" w:after="40"/>
            </w:pPr>
            <w:r>
              <w:rPr>
                <w:b w:val="0"/>
                <w:sz w:val="19"/>
              </w:rPr>
            </w:r>
          </w:p>
        </w:tc>
      </w:tr>
      <w:tr>
        <w:tc>
          <w:tcPr>
            <w:tcW w:type="dxa" w:w="5184"/>
          </w:tcPr>
          <w:p>
            <w:pPr>
              <w:spacing w:before="40" w:after="40"/>
            </w:pPr>
            <w:r>
              <w:rPr>
                <w:b w:val="0"/>
                <w:sz w:val="19"/>
              </w:rPr>
              <w:t>MOF Japan</w:t>
            </w:r>
          </w:p>
        </w:tc>
        <w:tc>
          <w:tcPr>
            <w:tcW w:type="dxa" w:w="3744"/>
          </w:tcPr>
          <w:p>
            <w:pPr>
              <w:spacing w:before="40" w:after="40"/>
            </w:pPr>
            <w:r>
              <w:rPr>
                <w:b w:val="0"/>
                <w:sz w:val="19"/>
              </w:rPr>
            </w:r>
          </w:p>
        </w:tc>
      </w:tr>
      <w:tr>
        <w:tc>
          <w:tcPr>
            <w:tcW w:type="dxa" w:w="5184"/>
            <w:shd w:val="clear" w:color="auto" w:fill="F2F2F2"/>
          </w:tcPr>
          <w:p>
            <w:pPr>
              <w:spacing w:before="40" w:after="40"/>
            </w:pPr>
            <w:r>
              <w:rPr>
                <w:b w:val="0"/>
                <w:sz w:val="19"/>
              </w:rPr>
              <w:t>MOFA Japan</w:t>
            </w:r>
          </w:p>
        </w:tc>
        <w:tc>
          <w:tcPr>
            <w:tcW w:type="dxa" w:w="3744"/>
            <w:shd w:val="clear" w:color="auto" w:fill="F2F2F2"/>
          </w:tcPr>
          <w:p>
            <w:pPr>
              <w:spacing w:before="40" w:after="40"/>
            </w:pPr>
            <w:r>
              <w:rPr>
                <w:b w:val="0"/>
                <w:sz w:val="19"/>
              </w:rPr>
            </w:r>
          </w:p>
        </w:tc>
      </w:tr>
      <w:tr>
        <w:tc>
          <w:tcPr>
            <w:tcW w:type="dxa" w:w="5184"/>
          </w:tcPr>
          <w:p>
            <w:pPr>
              <w:spacing w:before="40" w:after="40"/>
            </w:pPr>
            <w:r>
              <w:rPr>
                <w:b w:val="0"/>
                <w:sz w:val="19"/>
              </w:rPr>
              <w:t>MOFA presser</w:t>
            </w:r>
          </w:p>
        </w:tc>
        <w:tc>
          <w:tcPr>
            <w:tcW w:type="dxa" w:w="3744"/>
          </w:tcPr>
          <w:p>
            <w:pPr>
              <w:spacing w:before="40" w:after="40"/>
            </w:pPr>
            <w:r>
              <w:rPr>
                <w:b w:val="0"/>
                <w:sz w:val="19"/>
              </w:rPr>
            </w:r>
          </w:p>
        </w:tc>
      </w:tr>
      <w:tr>
        <w:tc>
          <w:tcPr>
            <w:tcW w:type="dxa" w:w="5184"/>
            <w:shd w:val="clear" w:color="auto" w:fill="F2F2F2"/>
          </w:tcPr>
          <w:p>
            <w:pPr>
              <w:spacing w:before="40" w:after="40"/>
            </w:pPr>
            <w:r>
              <w:rPr>
                <w:b w:val="0"/>
                <w:sz w:val="19"/>
              </w:rPr>
              <w:t>NHK World</w:t>
            </w:r>
          </w:p>
        </w:tc>
        <w:tc>
          <w:tcPr>
            <w:tcW w:type="dxa" w:w="3744"/>
            <w:shd w:val="clear" w:color="auto" w:fill="F2F2F2"/>
          </w:tcPr>
          <w:p>
            <w:pPr>
              <w:spacing w:before="40" w:after="40"/>
            </w:pPr>
            <w:r>
              <w:rPr>
                <w:b w:val="0"/>
                <w:sz w:val="19"/>
              </w:rPr>
            </w:r>
          </w:p>
        </w:tc>
      </w:tr>
    </w:tbl>
    <w:p>
      <w:pPr>
        <w:spacing w:after="40"/>
      </w:pPr>
    </w:p>
    <w:p>
      <w:pPr>
        <w:spacing w:before="160" w:after="80"/>
      </w:pPr>
      <w:r>
        <w:rPr>
          <w:b/>
          <w:i w:val="0"/>
          <w:color w:val="111111"/>
          <w:sz w:val="24"/>
        </w:rPr>
        <w:t>The ranked cut</w:t>
      </w:r>
    </w:p>
    <w:p>
      <w:pPr>
        <w:spacing w:before="0" w:after="120"/>
      </w:pPr>
      <w:r>
        <w:rPr>
          <w:b w:val="0"/>
          <w:i w:val="0"/>
          <w:color w:val="444444"/>
          <w:sz w:val="21"/>
        </w:rPr>
        <w:t>At most 140 articles per tier reach the prompt. That cut used to be the first 60 of a list ordered by nothing — the parallel fetcher fills results in completion order, so tier 1 arrived sorted by which feed answered fastest, and the outlets the editorial rules call mandatory were frequently not in the prompt at all. Articles are now sorted into four bands before the cut, and within every band one article is taken from each source before any source gets a second.</w:t>
      </w:r>
    </w:p>
    <w:tbl>
      <w:tblPr>
        <w:tblStyle w:val="TableGrid"/>
        <w:tblW w:type="auto" w:w="0"/>
        <w:jc w:val="left"/>
        <w:tblLook w:firstColumn="1" w:firstRow="1" w:lastColumn="0" w:lastRow="0" w:noHBand="0" w:noVBand="1" w:val="04A0"/>
      </w:tblPr>
      <w:tblGrid>
        <w:gridCol w:w="3135"/>
        <w:gridCol w:w="3135"/>
        <w:gridCol w:w="3135"/>
      </w:tblGrid>
      <w:tr>
        <w:tc>
          <w:tcPr>
            <w:tcW w:type="dxa" w:w="864"/>
            <w:shd w:val="clear" w:color="auto" w:fill="111111"/>
          </w:tcPr>
          <w:p>
            <w:pPr>
              <w:spacing w:before="40" w:after="40"/>
            </w:pPr>
            <w:r>
              <w:rPr>
                <w:b/>
                <w:color w:val="FFFFFF"/>
                <w:sz w:val="18"/>
              </w:rPr>
              <w:t>Band</w:t>
            </w:r>
          </w:p>
        </w:tc>
        <w:tc>
          <w:tcPr>
            <w:tcW w:type="dxa" w:w="4464"/>
            <w:shd w:val="clear" w:color="auto" w:fill="111111"/>
          </w:tcPr>
          <w:p>
            <w:pPr>
              <w:spacing w:before="40" w:after="40"/>
            </w:pPr>
            <w:r>
              <w:rPr>
                <w:b/>
                <w:color w:val="FFFFFF"/>
                <w:sz w:val="18"/>
              </w:rPr>
              <w:t>What lands in it</w:t>
            </w:r>
          </w:p>
        </w:tc>
        <w:tc>
          <w:tcPr>
            <w:tcW w:type="dxa" w:w="3600"/>
            <w:shd w:val="clear" w:color="auto" w:fill="111111"/>
          </w:tcPr>
          <w:p>
            <w:pPr>
              <w:spacing w:before="40" w:after="40"/>
            </w:pPr>
            <w:r>
              <w:rPr>
                <w:b/>
                <w:color w:val="FFFFFF"/>
                <w:sz w:val="18"/>
              </w:rPr>
              <w:t>Why it is first</w:t>
            </w:r>
          </w:p>
        </w:tc>
      </w:tr>
      <w:tr>
        <w:tc>
          <w:tcPr>
            <w:tcW w:type="dxa" w:w="864"/>
          </w:tcPr>
          <w:p>
            <w:pPr>
              <w:spacing w:before="40" w:after="40"/>
            </w:pPr>
            <w:r>
              <w:rPr>
                <w:b w:val="0"/>
                <w:sz w:val="19"/>
              </w:rPr>
              <w:t>1</w:t>
            </w:r>
          </w:p>
        </w:tc>
        <w:tc>
          <w:tcPr>
            <w:tcW w:type="dxa" w:w="4464"/>
          </w:tcPr>
          <w:p>
            <w:pPr>
              <w:spacing w:before="40" w:after="40"/>
            </w:pPr>
            <w:r>
              <w:rPr>
                <w:b w:val="0"/>
                <w:sz w:val="19"/>
              </w:rPr>
              <w:t>Primary documents — the ministry and central-bank feeds listed above</w:t>
            </w:r>
          </w:p>
        </w:tc>
        <w:tc>
          <w:tcPr>
            <w:tcW w:type="dxa" w:w="3600"/>
          </w:tcPr>
          <w:p>
            <w:pPr>
              <w:spacing w:before="40" w:after="40"/>
            </w:pPr>
            <w:r>
              <w:rPr>
                <w:b w:val="0"/>
                <w:sz w:val="19"/>
              </w:rPr>
              <w:t>Official text outranks reporting about official text</w:t>
            </w:r>
          </w:p>
        </w:tc>
      </w:tr>
      <w:tr>
        <w:tc>
          <w:tcPr>
            <w:tcW w:type="dxa" w:w="864"/>
            <w:shd w:val="clear" w:color="auto" w:fill="F2F2F2"/>
          </w:tcPr>
          <w:p>
            <w:pPr>
              <w:spacing w:before="40" w:after="40"/>
            </w:pPr>
            <w:r>
              <w:rPr>
                <w:b w:val="0"/>
                <w:sz w:val="19"/>
              </w:rPr>
              <w:t>2</w:t>
            </w:r>
          </w:p>
        </w:tc>
        <w:tc>
          <w:tcPr>
            <w:tcW w:type="dxa" w:w="4464"/>
            <w:shd w:val="clear" w:color="auto" w:fill="F2F2F2"/>
          </w:tcPr>
          <w:p>
            <w:pPr>
              <w:spacing w:before="40" w:after="40"/>
            </w:pPr>
            <w:r>
              <w:rPr>
                <w:b w:val="0"/>
                <w:sz w:val="19"/>
              </w:rPr>
              <w:t>Outlets an editorial rule names as mandatory, and flagged correspondents</w:t>
            </w:r>
          </w:p>
        </w:tc>
        <w:tc>
          <w:tcPr>
            <w:tcW w:type="dxa" w:w="3600"/>
            <w:shd w:val="clear" w:color="auto" w:fill="F2F2F2"/>
          </w:tcPr>
          <w:p>
            <w:pPr>
              <w:spacing w:before="40" w:after="40"/>
            </w:pPr>
            <w:r>
              <w:rPr>
                <w:b w:val="0"/>
                <w:sz w:val="19"/>
              </w:rPr>
              <w:t>A rule the prompt cannot satisfy is not a rule</w:t>
            </w:r>
          </w:p>
        </w:tc>
      </w:tr>
      <w:tr>
        <w:tc>
          <w:tcPr>
            <w:tcW w:type="dxa" w:w="864"/>
          </w:tcPr>
          <w:p>
            <w:pPr>
              <w:spacing w:before="40" w:after="40"/>
            </w:pPr>
            <w:r>
              <w:rPr>
                <w:b w:val="0"/>
                <w:sz w:val="19"/>
              </w:rPr>
              <w:t>3</w:t>
            </w:r>
          </w:p>
        </w:tc>
        <w:tc>
          <w:tcPr>
            <w:tcW w:type="dxa" w:w="4464"/>
          </w:tcPr>
          <w:p>
            <w:pPr>
              <w:spacing w:before="40" w:after="40"/>
            </w:pPr>
            <w:r>
              <w:rPr>
                <w:b w:val="0"/>
                <w:sz w:val="19"/>
              </w:rPr>
              <w:t>Japanese-language articles</w:t>
            </w:r>
          </w:p>
        </w:tc>
        <w:tc>
          <w:tcPr>
            <w:tcW w:type="dxa" w:w="3600"/>
          </w:tcPr>
          <w:p>
            <w:pPr>
              <w:spacing w:before="40" w:after="40"/>
            </w:pPr>
            <w:r>
              <w:rPr>
                <w:b w:val="0"/>
                <w:sz w:val="19"/>
              </w:rPr>
              <w:t>The Japanese press is the point of difference, and is easily crowded out</w:t>
            </w:r>
          </w:p>
        </w:tc>
      </w:tr>
      <w:tr>
        <w:tc>
          <w:tcPr>
            <w:tcW w:type="dxa" w:w="864"/>
            <w:shd w:val="clear" w:color="auto" w:fill="F2F2F2"/>
          </w:tcPr>
          <w:p>
            <w:pPr>
              <w:spacing w:before="40" w:after="40"/>
            </w:pPr>
            <w:r>
              <w:rPr>
                <w:b w:val="0"/>
                <w:sz w:val="19"/>
              </w:rPr>
              <w:t>4</w:t>
            </w:r>
          </w:p>
        </w:tc>
        <w:tc>
          <w:tcPr>
            <w:tcW w:type="dxa" w:w="4464"/>
            <w:shd w:val="clear" w:color="auto" w:fill="F2F2F2"/>
          </w:tcPr>
          <w:p>
            <w:pPr>
              <w:spacing w:before="40" w:after="40"/>
            </w:pPr>
            <w:r>
              <w:rPr>
                <w:b w:val="0"/>
                <w:sz w:val="19"/>
              </w:rPr>
              <w:t>Everything else that cleared the filter</w:t>
            </w:r>
          </w:p>
        </w:tc>
        <w:tc>
          <w:tcPr>
            <w:tcW w:type="dxa" w:w="3600"/>
            <w:shd w:val="clear" w:color="auto" w:fill="F2F2F2"/>
          </w:tcPr>
          <w:p>
            <w:pPr>
              <w:spacing w:before="40" w:after="40"/>
            </w:pPr>
            <w:r>
              <w:rPr>
                <w:b w:val="0"/>
                <w:sz w:val="19"/>
              </w:rPr>
              <w:t>Filled in as space allows</w:t>
            </w:r>
          </w:p>
        </w:tc>
      </w:tr>
    </w:tbl>
    <w:p>
      <w:pPr>
        <w:spacing w:after="40"/>
      </w:pPr>
    </w:p>
    <w:p>
      <w:pPr>
        <w:spacing w:before="160" w:after="80"/>
      </w:pPr>
      <w:r>
        <w:rPr>
          <w:b/>
          <w:i w:val="0"/>
          <w:color w:val="111111"/>
          <w:sz w:val="24"/>
        </w:rPr>
        <w:t>Outlets treated as mandatory</w:t>
      </w:r>
    </w:p>
    <w:p>
      <w:pPr>
        <w:spacing w:before="0" w:after="160"/>
      </w:pPr>
      <w:r>
        <w:rPr>
          <w:b w:val="0"/>
          <w:i w:val="0"/>
          <w:color w:val="444444"/>
          <w:sz w:val="21"/>
        </w:rPr>
        <w:t>7 outlets are enforced: if they published on Japan that day, the brief is expected to reflect it. They are AP Japan, Bloomberg Japan, FT Japan, Kyodo News, NHK World, Reuters Japan, WSJ Japan.</w:t>
      </w:r>
    </w:p>
    <w:p>
      <w:pPr>
        <w:spacing w:before="120" w:after="80"/>
      </w:pPr>
      <w:r>
        <w:rPr>
          <w:b/>
          <w:i w:val="0"/>
          <w:color w:val="111111"/>
          <w:sz w:val="24"/>
        </w:rPr>
        <w:t>Correspondents tracked by name</w:t>
      </w:r>
    </w:p>
    <w:p>
      <w:pPr>
        <w:spacing w:before="0" w:after="120"/>
      </w:pPr>
      <w:r>
        <w:rPr>
          <w:b w:val="0"/>
          <w:i w:val="0"/>
          <w:color w:val="444444"/>
          <w:sz w:val="21"/>
        </w:rPr>
        <w:t>25 Japan correspondents are flagged by byline. An article carrying one of these names is promoted into band 2 regardless of which feed delivered it, so a piece by a bureau correspondent is not cut in favour of an agency rewrite of the same story.</w:t>
      </w:r>
    </w:p>
    <w:tbl>
      <w:tblPr>
        <w:tblStyle w:val="TableGrid"/>
        <w:tblW w:type="auto" w:w="0"/>
        <w:jc w:val="left"/>
        <w:tblLook w:firstColumn="1" w:firstRow="1" w:lastColumn="0" w:lastRow="0" w:noHBand="0" w:noVBand="1" w:val="04A0"/>
      </w:tblPr>
      <w:tblGrid>
        <w:gridCol w:w="4703"/>
        <w:gridCol w:w="4703"/>
      </w:tblGrid>
      <w:tr>
        <w:tc>
          <w:tcPr>
            <w:tcW w:type="dxa" w:w="4464"/>
            <w:shd w:val="clear" w:color="auto" w:fill="111111"/>
          </w:tcPr>
          <w:p>
            <w:pPr>
              <w:spacing w:before="40" w:after="40"/>
            </w:pPr>
            <w:r>
              <w:rPr>
                <w:b/>
                <w:color w:val="FFFFFF"/>
                <w:sz w:val="18"/>
              </w:rPr>
              <w:t>Correspondent</w:t>
            </w:r>
          </w:p>
        </w:tc>
        <w:tc>
          <w:tcPr>
            <w:tcW w:type="dxa" w:w="4464"/>
            <w:shd w:val="clear" w:color="auto" w:fill="111111"/>
          </w:tcPr>
          <w:p>
            <w:pPr>
              <w:spacing w:before="40" w:after="40"/>
            </w:pPr>
            <w:r>
              <w:rPr>
                <w:b/>
                <w:color w:val="FFFFFF"/>
                <w:sz w:val="18"/>
              </w:rPr>
              <w:t>Correspondent</w:t>
            </w:r>
          </w:p>
        </w:tc>
      </w:tr>
      <w:tr>
        <w:tc>
          <w:tcPr>
            <w:tcW w:type="dxa" w:w="4464"/>
          </w:tcPr>
          <w:p>
            <w:pPr>
              <w:spacing w:before="40" w:after="40"/>
            </w:pPr>
            <w:r>
              <w:rPr>
                <w:b w:val="0"/>
                <w:sz w:val="19"/>
              </w:rPr>
              <w:t>Chieko Tsuneoka</w:t>
            </w:r>
          </w:p>
        </w:tc>
        <w:tc>
          <w:tcPr>
            <w:tcW w:type="dxa" w:w="4464"/>
          </w:tcPr>
          <w:p>
            <w:pPr>
              <w:spacing w:before="40" w:after="40"/>
            </w:pPr>
            <w:r>
              <w:rPr>
                <w:b w:val="0"/>
                <w:sz w:val="19"/>
              </w:rPr>
              <w:t>Kiyoshi Takenaka</w:t>
            </w:r>
          </w:p>
        </w:tc>
      </w:tr>
      <w:tr>
        <w:tc>
          <w:tcPr>
            <w:tcW w:type="dxa" w:w="4464"/>
            <w:shd w:val="clear" w:color="auto" w:fill="F2F2F2"/>
          </w:tcPr>
          <w:p>
            <w:pPr>
              <w:spacing w:before="40" w:after="40"/>
            </w:pPr>
            <w:r>
              <w:rPr>
                <w:b w:val="0"/>
                <w:sz w:val="19"/>
              </w:rPr>
              <w:t>David Ignatius</w:t>
            </w:r>
          </w:p>
        </w:tc>
        <w:tc>
          <w:tcPr>
            <w:tcW w:type="dxa" w:w="4464"/>
            <w:shd w:val="clear" w:color="auto" w:fill="F2F2F2"/>
          </w:tcPr>
          <w:p>
            <w:pPr>
              <w:spacing w:before="40" w:after="40"/>
            </w:pPr>
            <w:r>
              <w:rPr>
                <w:b w:val="0"/>
                <w:sz w:val="19"/>
              </w:rPr>
              <w:t>Leo Lewis</w:t>
            </w:r>
          </w:p>
        </w:tc>
      </w:tr>
      <w:tr>
        <w:tc>
          <w:tcPr>
            <w:tcW w:type="dxa" w:w="4464"/>
          </w:tcPr>
          <w:p>
            <w:pPr>
              <w:spacing w:before="40" w:after="40"/>
            </w:pPr>
            <w:r>
              <w:rPr>
                <w:b w:val="0"/>
                <w:sz w:val="19"/>
              </w:rPr>
              <w:t>Demetri Sevastopulo</w:t>
            </w:r>
          </w:p>
        </w:tc>
        <w:tc>
          <w:tcPr>
            <w:tcW w:type="dxa" w:w="4464"/>
          </w:tcPr>
          <w:p>
            <w:pPr>
              <w:spacing w:before="40" w:after="40"/>
            </w:pPr>
            <w:r>
              <w:rPr>
                <w:b w:val="0"/>
                <w:sz w:val="19"/>
              </w:rPr>
              <w:t>Mari Yamaguchi</w:t>
            </w:r>
          </w:p>
        </w:tc>
      </w:tr>
      <w:tr>
        <w:tc>
          <w:tcPr>
            <w:tcW w:type="dxa" w:w="4464"/>
            <w:shd w:val="clear" w:color="auto" w:fill="F2F2F2"/>
          </w:tcPr>
          <w:p>
            <w:pPr>
              <w:spacing w:before="40" w:after="40"/>
            </w:pPr>
            <w:r>
              <w:rPr>
                <w:b w:val="0"/>
                <w:sz w:val="19"/>
              </w:rPr>
              <w:t>Eri Sugiura</w:t>
            </w:r>
          </w:p>
        </w:tc>
        <w:tc>
          <w:tcPr>
            <w:tcW w:type="dxa" w:w="4464"/>
            <w:shd w:val="clear" w:color="auto" w:fill="F2F2F2"/>
          </w:tcPr>
          <w:p>
            <w:pPr>
              <w:spacing w:before="40" w:after="40"/>
            </w:pPr>
            <w:r>
              <w:rPr>
                <w:b w:val="0"/>
                <w:sz w:val="19"/>
              </w:rPr>
              <w:t>Megumi Fujikawa</w:t>
            </w:r>
          </w:p>
        </w:tc>
      </w:tr>
      <w:tr>
        <w:tc>
          <w:tcPr>
            <w:tcW w:type="dxa" w:w="4464"/>
          </w:tcPr>
          <w:p>
            <w:pPr>
              <w:spacing w:before="40" w:after="40"/>
            </w:pPr>
            <w:r>
              <w:rPr>
                <w:b w:val="0"/>
                <w:sz w:val="19"/>
              </w:rPr>
              <w:t>Erica Yokoyama</w:t>
            </w:r>
          </w:p>
        </w:tc>
        <w:tc>
          <w:tcPr>
            <w:tcW w:type="dxa" w:w="4464"/>
          </w:tcPr>
          <w:p>
            <w:pPr>
              <w:spacing w:before="40" w:after="40"/>
            </w:pPr>
            <w:r>
              <w:rPr>
                <w:b w:val="0"/>
                <w:sz w:val="19"/>
              </w:rPr>
              <w:t>Michelle Ye Hee Lee</w:t>
            </w:r>
          </w:p>
        </w:tc>
      </w:tr>
      <w:tr>
        <w:tc>
          <w:tcPr>
            <w:tcW w:type="dxa" w:w="4464"/>
            <w:shd w:val="clear" w:color="auto" w:fill="F2F2F2"/>
          </w:tcPr>
          <w:p>
            <w:pPr>
              <w:spacing w:before="40" w:after="40"/>
            </w:pPr>
            <w:r>
              <w:rPr>
                <w:b w:val="0"/>
                <w:sz w:val="19"/>
              </w:rPr>
              <w:t>Harry Dempsey</w:t>
            </w:r>
          </w:p>
        </w:tc>
        <w:tc>
          <w:tcPr>
            <w:tcW w:type="dxa" w:w="4464"/>
            <w:shd w:val="clear" w:color="auto" w:fill="F2F2F2"/>
          </w:tcPr>
          <w:p>
            <w:pPr>
              <w:spacing w:before="40" w:after="40"/>
            </w:pPr>
            <w:r>
              <w:rPr>
                <w:b w:val="0"/>
                <w:sz w:val="19"/>
              </w:rPr>
              <w:t>Miho Inada</w:t>
            </w:r>
          </w:p>
        </w:tc>
      </w:tr>
      <w:tr>
        <w:tc>
          <w:tcPr>
            <w:tcW w:type="dxa" w:w="4464"/>
          </w:tcPr>
          <w:p>
            <w:pPr>
              <w:spacing w:before="40" w:after="40"/>
            </w:pPr>
            <w:r>
              <w:rPr>
                <w:b w:val="0"/>
                <w:sz w:val="19"/>
              </w:rPr>
              <w:t>Hisako Ueno</w:t>
            </w:r>
          </w:p>
        </w:tc>
        <w:tc>
          <w:tcPr>
            <w:tcW w:type="dxa" w:w="4464"/>
          </w:tcPr>
          <w:p>
            <w:pPr>
              <w:spacing w:before="40" w:after="40"/>
            </w:pPr>
            <w:r>
              <w:rPr>
                <w:b w:val="0"/>
                <w:sz w:val="19"/>
              </w:rPr>
              <w:t>Peter Landers</w:t>
            </w:r>
          </w:p>
        </w:tc>
      </w:tr>
      <w:tr>
        <w:tc>
          <w:tcPr>
            <w:tcW w:type="dxa" w:w="4464"/>
            <w:shd w:val="clear" w:color="auto" w:fill="F2F2F2"/>
          </w:tcPr>
          <w:p>
            <w:pPr>
              <w:spacing w:before="40" w:after="40"/>
            </w:pPr>
            <w:r>
              <w:rPr>
                <w:b w:val="0"/>
                <w:sz w:val="19"/>
              </w:rPr>
              <w:t>Isabel Reynolds</w:t>
            </w:r>
          </w:p>
        </w:tc>
        <w:tc>
          <w:tcPr>
            <w:tcW w:type="dxa" w:w="4464"/>
            <w:shd w:val="clear" w:color="auto" w:fill="F2F2F2"/>
          </w:tcPr>
          <w:p>
            <w:pPr>
              <w:spacing w:before="40" w:after="40"/>
            </w:pPr>
            <w:r>
              <w:rPr>
                <w:b w:val="0"/>
                <w:sz w:val="19"/>
              </w:rPr>
              <w:t>River Akira Davis</w:t>
            </w:r>
          </w:p>
        </w:tc>
      </w:tr>
      <w:tr>
        <w:tc>
          <w:tcPr>
            <w:tcW w:type="dxa" w:w="4464"/>
          </w:tcPr>
          <w:p>
            <w:pPr>
              <w:spacing w:before="40" w:after="40"/>
            </w:pPr>
            <w:r>
              <w:rPr>
                <w:b w:val="0"/>
                <w:sz w:val="19"/>
              </w:rPr>
              <w:t>John Geddie</w:t>
            </w:r>
          </w:p>
        </w:tc>
        <w:tc>
          <w:tcPr>
            <w:tcW w:type="dxa" w:w="4464"/>
          </w:tcPr>
          <w:p>
            <w:pPr>
              <w:spacing w:before="40" w:after="40"/>
            </w:pPr>
            <w:r>
              <w:rPr>
                <w:b w:val="0"/>
                <w:sz w:val="19"/>
              </w:rPr>
              <w:t>Rurika Imahashi</w:t>
            </w:r>
          </w:p>
        </w:tc>
      </w:tr>
      <w:tr>
        <w:tc>
          <w:tcPr>
            <w:tcW w:type="dxa" w:w="4464"/>
            <w:shd w:val="clear" w:color="auto" w:fill="F2F2F2"/>
          </w:tcPr>
          <w:p>
            <w:pPr>
              <w:spacing w:before="40" w:after="40"/>
            </w:pPr>
            <w:r>
              <w:rPr>
                <w:b w:val="0"/>
                <w:sz w:val="19"/>
              </w:rPr>
              <w:t>Julia Mio Inuma</w:t>
            </w:r>
          </w:p>
        </w:tc>
        <w:tc>
          <w:tcPr>
            <w:tcW w:type="dxa" w:w="4464"/>
            <w:shd w:val="clear" w:color="auto" w:fill="F2F2F2"/>
          </w:tcPr>
          <w:p>
            <w:pPr>
              <w:spacing w:before="40" w:after="40"/>
            </w:pPr>
            <w:r>
              <w:rPr>
                <w:b w:val="0"/>
                <w:sz w:val="19"/>
              </w:rPr>
              <w:t>Sakura Murakami</w:t>
            </w:r>
          </w:p>
        </w:tc>
      </w:tr>
      <w:tr>
        <w:tc>
          <w:tcPr>
            <w:tcW w:type="dxa" w:w="4464"/>
          </w:tcPr>
          <w:p>
            <w:pPr>
              <w:spacing w:before="40" w:after="40"/>
            </w:pPr>
            <w:r>
              <w:rPr>
                <w:b w:val="0"/>
                <w:sz w:val="19"/>
              </w:rPr>
              <w:t>Kana Inagaki</w:t>
            </w:r>
          </w:p>
        </w:tc>
        <w:tc>
          <w:tcPr>
            <w:tcW w:type="dxa" w:w="4464"/>
          </w:tcPr>
          <w:p>
            <w:pPr>
              <w:spacing w:before="40" w:after="40"/>
            </w:pPr>
            <w:r>
              <w:rPr>
                <w:b w:val="0"/>
                <w:sz w:val="19"/>
              </w:rPr>
              <w:t>Tim Kelly</w:t>
            </w:r>
          </w:p>
        </w:tc>
      </w:tr>
      <w:tr>
        <w:tc>
          <w:tcPr>
            <w:tcW w:type="dxa" w:w="4464"/>
            <w:shd w:val="clear" w:color="auto" w:fill="F2F2F2"/>
          </w:tcPr>
          <w:p>
            <w:pPr>
              <w:spacing w:before="40" w:after="40"/>
            </w:pPr>
            <w:r>
              <w:rPr>
                <w:b w:val="0"/>
                <w:sz w:val="19"/>
              </w:rPr>
              <w:t>Kantaro Komiya</w:t>
            </w:r>
          </w:p>
        </w:tc>
        <w:tc>
          <w:tcPr>
            <w:tcW w:type="dxa" w:w="4464"/>
            <w:shd w:val="clear" w:color="auto" w:fill="F2F2F2"/>
          </w:tcPr>
          <w:p>
            <w:pPr>
              <w:spacing w:before="40" w:after="40"/>
            </w:pPr>
            <w:r>
              <w:rPr>
                <w:b w:val="0"/>
                <w:sz w:val="19"/>
              </w:rPr>
              <w:t>Yuki Hagiwara</w:t>
            </w:r>
          </w:p>
        </w:tc>
      </w:tr>
      <w:tr>
        <w:tc>
          <w:tcPr>
            <w:tcW w:type="dxa" w:w="4464"/>
          </w:tcPr>
          <w:p>
            <w:pPr>
              <w:spacing w:before="40" w:after="40"/>
            </w:pPr>
            <w:r>
              <w:rPr>
                <w:b w:val="0"/>
                <w:sz w:val="19"/>
              </w:rPr>
              <w:t>Kiuko Notoya</w:t>
            </w:r>
          </w:p>
        </w:tc>
        <w:tc>
          <w:tcPr>
            <w:tcW w:type="dxa" w:w="4464"/>
          </w:tcPr>
          <w:p>
            <w:pPr>
              <w:spacing w:before="40" w:after="40"/>
            </w:pPr>
            <w:r>
              <w:rPr>
                <w:b w:val="0"/>
                <w:sz w:val="19"/>
              </w:rPr>
            </w:r>
          </w:p>
        </w:tc>
      </w:tr>
    </w:tbl>
    <w:p>
      <w:pPr>
        <w:spacing w:after="40"/>
      </w:pPr>
    </w:p>
    <w:p>
      <w:pPr>
        <w:spacing w:before="120" w:after="200"/>
        <w:ind w:left="288"/>
        <w:pBdr>
          <w:left w:val="single" w:sz="12" w:space="6" w:color="111111"/>
        </w:pBdr>
      </w:pPr>
      <w:r>
        <w:rPr>
          <w:b/>
          <w:color w:val="111111"/>
          <w:sz w:val="20"/>
        </w:rPr>
        <w:t xml:space="preserve">Maintenance note:  </w:t>
      </w:r>
      <w:r>
        <w:rPr>
          <w:color w:val="444444"/>
          <w:sz w:val="21"/>
        </w:rPr>
        <w:t>This list is hand-maintained. A correspondent who moves desk or masthead keeps their promotion until the name is removed, and a new hire gets none until the name is added. It is worth a read at the same time as the source list.</w:t>
      </w:r>
    </w:p>
    <w:p>
      <w:r>
        <w:br w:type="page"/>
      </w:r>
    </w:p>
    <w:p>
      <w:pPr>
        <w:spacing w:before="320" w:after="80"/>
        <w:pBdr>
          <w:bottom w:val="single" w:sz="6" w:space="1" w:color="111111"/>
        </w:pBdr>
      </w:pPr>
      <w:r>
        <w:rPr>
          <w:b/>
          <w:i w:val="0"/>
          <w:color w:val="111111"/>
          <w:sz w:val="34"/>
        </w:rPr>
        <w:t>5.  Every Source It Reads</w:t>
      </w:r>
    </w:p>
    <w:p>
      <w:pPr>
        <w:spacing w:before="0" w:after="160"/>
      </w:pPr>
      <w:r>
        <w:rPr>
          <w:b w:val="0"/>
          <w:i w:val="0"/>
          <w:color w:val="444444"/>
          <w:sz w:val="22"/>
        </w:rPr>
        <w:t>The complete list, generated from the running code rather than transcribed. "Native RSS" means the publisher's own feed is tried first. "Google News search" means there is no publisher feed configured and the source reaches the brief only through Google's index.</w:t>
      </w:r>
    </w:p>
    <w:p>
      <w:pPr>
        <w:spacing w:before="200" w:after="40"/>
      </w:pPr>
      <w:r>
        <w:rPr>
          <w:b/>
          <w:i w:val="0"/>
          <w:color w:val="111111"/>
          <w:sz w:val="24"/>
        </w:rPr>
        <w:t>Tier 1 — News</w:t>
      </w:r>
    </w:p>
    <w:p>
      <w:pPr>
        <w:spacing w:before="0" w:after="80"/>
      </w:pPr>
      <w:r>
        <w:rPr>
          <w:b w:val="0"/>
          <w:i w:val="0"/>
          <w:color w:val="808080"/>
          <w:sz w:val="20"/>
        </w:rPr>
        <w:t>Wires, correspondents, the Japanese dailies, US and Japanese government.  47 feeds, 26 native, 24-hour window.</w:t>
      </w:r>
    </w:p>
    <w:tbl>
      <w:tblPr>
        <w:tblStyle w:val="TableGrid"/>
        <w:tblW w:type="auto" w:w="0"/>
        <w:jc w:val="left"/>
        <w:tblLook w:firstColumn="1" w:firstRow="1" w:lastColumn="0" w:lastRow="0" w:noHBand="0" w:noVBand="1" w:val="04A0"/>
      </w:tblPr>
      <w:tblGrid>
        <w:gridCol w:w="4703"/>
        <w:gridCol w:w="4703"/>
      </w:tblGrid>
      <w:tr>
        <w:tc>
          <w:tcPr>
            <w:tcW w:type="dxa" w:w="5184"/>
            <w:shd w:val="clear" w:color="auto" w:fill="111111"/>
          </w:tcPr>
          <w:p>
            <w:pPr>
              <w:spacing w:before="40" w:after="40"/>
            </w:pPr>
            <w:r>
              <w:rPr>
                <w:b/>
                <w:color w:val="FFFFFF"/>
                <w:sz w:val="18"/>
              </w:rPr>
              <w:t>Source</w:t>
            </w:r>
          </w:p>
        </w:tc>
        <w:tc>
          <w:tcPr>
            <w:tcW w:type="dxa" w:w="3744"/>
            <w:shd w:val="clear" w:color="auto" w:fill="111111"/>
          </w:tcPr>
          <w:p>
            <w:pPr>
              <w:spacing w:before="40" w:after="40"/>
            </w:pPr>
            <w:r>
              <w:rPr>
                <w:b/>
                <w:color w:val="FFFFFF"/>
                <w:sz w:val="18"/>
              </w:rPr>
              <w:t>How it is reached</w:t>
            </w:r>
          </w:p>
        </w:tc>
      </w:tr>
      <w:tr>
        <w:tc>
          <w:tcPr>
            <w:tcW w:type="dxa" w:w="5184"/>
          </w:tcPr>
          <w:p>
            <w:pPr>
              <w:spacing w:before="40" w:after="40"/>
            </w:pPr>
            <w:r>
              <w:rPr>
                <w:b w:val="0"/>
                <w:sz w:val="19"/>
              </w:rPr>
              <w:t>AFP Japan</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AP Japan</w:t>
            </w:r>
          </w:p>
        </w:tc>
        <w:tc>
          <w:tcPr>
            <w:tcW w:type="dxa" w:w="3744"/>
            <w:shd w:val="clear" w:color="auto" w:fill="F2F2F2"/>
          </w:tcPr>
          <w:p>
            <w:pPr>
              <w:spacing w:before="40" w:after="40"/>
            </w:pPr>
            <w:r>
              <w:rPr>
                <w:b w:val="0"/>
                <w:sz w:val="19"/>
              </w:rPr>
              <w:t>Native RSS, search fallback</w:t>
            </w:r>
          </w:p>
        </w:tc>
      </w:tr>
      <w:tr>
        <w:tc>
          <w:tcPr>
            <w:tcW w:type="dxa" w:w="5184"/>
          </w:tcPr>
          <w:p>
            <w:pPr>
              <w:spacing w:before="40" w:after="40"/>
            </w:pPr>
            <w:r>
              <w:rPr>
                <w:b w:val="0"/>
                <w:sz w:val="19"/>
              </w:rPr>
              <w:t>Asahi AJW</w:t>
            </w:r>
          </w:p>
        </w:tc>
        <w:tc>
          <w:tcPr>
            <w:tcW w:type="dxa" w:w="3744"/>
          </w:tcPr>
          <w:p>
            <w:pPr>
              <w:spacing w:before="40" w:after="40"/>
            </w:pPr>
            <w:r>
              <w:rPr>
                <w:b w:val="0"/>
                <w:sz w:val="19"/>
              </w:rPr>
              <w:t>Native RSS, search fallback</w:t>
            </w:r>
          </w:p>
        </w:tc>
      </w:tr>
      <w:tr>
        <w:tc>
          <w:tcPr>
            <w:tcW w:type="dxa" w:w="5184"/>
            <w:shd w:val="clear" w:color="auto" w:fill="F2F2F2"/>
          </w:tcPr>
          <w:p>
            <w:pPr>
              <w:spacing w:before="40" w:after="40"/>
            </w:pPr>
            <w:r>
              <w:rPr>
                <w:b w:val="0"/>
                <w:sz w:val="19"/>
              </w:rPr>
              <w:t>BBC Japan</w:t>
            </w:r>
          </w:p>
        </w:tc>
        <w:tc>
          <w:tcPr>
            <w:tcW w:type="dxa" w:w="3744"/>
            <w:shd w:val="clear" w:color="auto" w:fill="F2F2F2"/>
          </w:tcPr>
          <w:p>
            <w:pPr>
              <w:spacing w:before="40" w:after="40"/>
            </w:pPr>
            <w:r>
              <w:rPr>
                <w:b w:val="0"/>
                <w:sz w:val="19"/>
              </w:rPr>
              <w:t>Native RSS, search fallback</w:t>
            </w:r>
          </w:p>
        </w:tc>
      </w:tr>
      <w:tr>
        <w:tc>
          <w:tcPr>
            <w:tcW w:type="dxa" w:w="5184"/>
          </w:tcPr>
          <w:p>
            <w:pPr>
              <w:spacing w:before="40" w:after="40"/>
            </w:pPr>
            <w:r>
              <w:rPr>
                <w:b w:val="0"/>
                <w:sz w:val="19"/>
              </w:rPr>
              <w:t>Bank of Japan</w:t>
            </w:r>
          </w:p>
        </w:tc>
        <w:tc>
          <w:tcPr>
            <w:tcW w:type="dxa" w:w="3744"/>
          </w:tcPr>
          <w:p>
            <w:pPr>
              <w:spacing w:before="40" w:after="40"/>
            </w:pPr>
            <w:r>
              <w:rPr>
                <w:b w:val="0"/>
                <w:sz w:val="19"/>
              </w:rPr>
              <w:t>Native RSS, search fallback</w:t>
            </w:r>
          </w:p>
        </w:tc>
      </w:tr>
      <w:tr>
        <w:tc>
          <w:tcPr>
            <w:tcW w:type="dxa" w:w="5184"/>
            <w:shd w:val="clear" w:color="auto" w:fill="F2F2F2"/>
          </w:tcPr>
          <w:p>
            <w:pPr>
              <w:spacing w:before="40" w:after="40"/>
            </w:pPr>
            <w:r>
              <w:rPr>
                <w:b w:val="0"/>
                <w:sz w:val="19"/>
              </w:rPr>
              <w:t>Bloomberg Japan</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CNBC Japan</w:t>
            </w:r>
          </w:p>
        </w:tc>
        <w:tc>
          <w:tcPr>
            <w:tcW w:type="dxa" w:w="3744"/>
          </w:tcPr>
          <w:p>
            <w:pPr>
              <w:spacing w:before="40" w:after="40"/>
            </w:pPr>
            <w:r>
              <w:rPr>
                <w:b w:val="0"/>
                <w:sz w:val="19"/>
              </w:rPr>
              <w:t>Native RSS, search fallback</w:t>
            </w:r>
          </w:p>
        </w:tc>
      </w:tr>
      <w:tr>
        <w:tc>
          <w:tcPr>
            <w:tcW w:type="dxa" w:w="5184"/>
            <w:shd w:val="clear" w:color="auto" w:fill="F2F2F2"/>
          </w:tcPr>
          <w:p>
            <w:pPr>
              <w:spacing w:before="40" w:after="40"/>
            </w:pPr>
            <w:r>
              <w:rPr>
                <w:b w:val="0"/>
                <w:sz w:val="19"/>
              </w:rPr>
              <w:t>CNN Japan</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Commerce Japan</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Economist Japan</w:t>
            </w:r>
          </w:p>
        </w:tc>
        <w:tc>
          <w:tcPr>
            <w:tcW w:type="dxa" w:w="3744"/>
            <w:shd w:val="clear" w:color="auto" w:fill="F2F2F2"/>
          </w:tcPr>
          <w:p>
            <w:pPr>
              <w:spacing w:before="40" w:after="40"/>
            </w:pPr>
            <w:r>
              <w:rPr>
                <w:b w:val="0"/>
                <w:sz w:val="19"/>
              </w:rPr>
              <w:t>Native RSS, search fallback</w:t>
            </w:r>
          </w:p>
        </w:tc>
      </w:tr>
      <w:tr>
        <w:tc>
          <w:tcPr>
            <w:tcW w:type="dxa" w:w="5184"/>
          </w:tcPr>
          <w:p>
            <w:pPr>
              <w:spacing w:before="40" w:after="40"/>
            </w:pPr>
            <w:r>
              <w:rPr>
                <w:b w:val="0"/>
                <w:sz w:val="19"/>
              </w:rPr>
              <w:t>FT Japan</w:t>
            </w:r>
          </w:p>
        </w:tc>
        <w:tc>
          <w:tcPr>
            <w:tcW w:type="dxa" w:w="3744"/>
          </w:tcPr>
          <w:p>
            <w:pPr>
              <w:spacing w:before="40" w:after="40"/>
            </w:pPr>
            <w:r>
              <w:rPr>
                <w:b w:val="0"/>
                <w:sz w:val="19"/>
              </w:rPr>
              <w:t>Native RSS, search fallback</w:t>
            </w:r>
          </w:p>
        </w:tc>
      </w:tr>
      <w:tr>
        <w:tc>
          <w:tcPr>
            <w:tcW w:type="dxa" w:w="5184"/>
            <w:shd w:val="clear" w:color="auto" w:fill="F2F2F2"/>
          </w:tcPr>
          <w:p>
            <w:pPr>
              <w:spacing w:before="40" w:after="40"/>
            </w:pPr>
            <w:r>
              <w:rPr>
                <w:b w:val="0"/>
                <w:sz w:val="19"/>
              </w:rPr>
              <w:t>Global Times re Japan</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Guardian Japan</w:t>
            </w:r>
          </w:p>
        </w:tc>
        <w:tc>
          <w:tcPr>
            <w:tcW w:type="dxa" w:w="3744"/>
          </w:tcPr>
          <w:p>
            <w:pPr>
              <w:spacing w:before="40" w:after="40"/>
            </w:pPr>
            <w:r>
              <w:rPr>
                <w:b w:val="0"/>
                <w:sz w:val="19"/>
              </w:rPr>
              <w:t>Native RSS, search fallback</w:t>
            </w:r>
          </w:p>
        </w:tc>
      </w:tr>
      <w:tr>
        <w:tc>
          <w:tcPr>
            <w:tcW w:type="dxa" w:w="5184"/>
            <w:shd w:val="clear" w:color="auto" w:fill="F2F2F2"/>
          </w:tcPr>
          <w:p>
            <w:pPr>
              <w:spacing w:before="40" w:after="40"/>
            </w:pPr>
            <w:r>
              <w:rPr>
                <w:b w:val="0"/>
                <w:sz w:val="19"/>
              </w:rPr>
              <w:t>INDOPACOM</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Indian Express re Japan</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Japan Forward</w:t>
            </w:r>
          </w:p>
        </w:tc>
        <w:tc>
          <w:tcPr>
            <w:tcW w:type="dxa" w:w="3744"/>
            <w:shd w:val="clear" w:color="auto" w:fill="F2F2F2"/>
          </w:tcPr>
          <w:p>
            <w:pPr>
              <w:spacing w:before="40" w:after="40"/>
            </w:pPr>
            <w:r>
              <w:rPr>
                <w:b w:val="0"/>
                <w:sz w:val="19"/>
              </w:rPr>
              <w:t>Native RSS, search fallback</w:t>
            </w:r>
          </w:p>
        </w:tc>
      </w:tr>
      <w:tr>
        <w:tc>
          <w:tcPr>
            <w:tcW w:type="dxa" w:w="5184"/>
          </w:tcPr>
          <w:p>
            <w:pPr>
              <w:spacing w:before="40" w:after="40"/>
            </w:pPr>
            <w:r>
              <w:rPr>
                <w:b w:val="0"/>
                <w:sz w:val="19"/>
              </w:rPr>
              <w:t>Japan News (Yomiuri)</w:t>
            </w:r>
          </w:p>
        </w:tc>
        <w:tc>
          <w:tcPr>
            <w:tcW w:type="dxa" w:w="3744"/>
          </w:tcPr>
          <w:p>
            <w:pPr>
              <w:spacing w:before="40" w:after="40"/>
            </w:pPr>
            <w:r>
              <w:rPr>
                <w:b w:val="0"/>
                <w:sz w:val="19"/>
              </w:rPr>
              <w:t>Native RSS, search fallback</w:t>
            </w:r>
          </w:p>
        </w:tc>
      </w:tr>
      <w:tr>
        <w:tc>
          <w:tcPr>
            <w:tcW w:type="dxa" w:w="5184"/>
            <w:shd w:val="clear" w:color="auto" w:fill="F2F2F2"/>
          </w:tcPr>
          <w:p>
            <w:pPr>
              <w:spacing w:before="40" w:after="40"/>
            </w:pPr>
            <w:r>
              <w:rPr>
                <w:b w:val="0"/>
                <w:sz w:val="19"/>
              </w:rPr>
              <w:t>Japan Times</w:t>
            </w:r>
          </w:p>
        </w:tc>
        <w:tc>
          <w:tcPr>
            <w:tcW w:type="dxa" w:w="3744"/>
            <w:shd w:val="clear" w:color="auto" w:fill="F2F2F2"/>
          </w:tcPr>
          <w:p>
            <w:pPr>
              <w:spacing w:before="40" w:after="40"/>
            </w:pPr>
            <w:r>
              <w:rPr>
                <w:b w:val="0"/>
                <w:sz w:val="19"/>
              </w:rPr>
              <w:t>Native RSS, search fallback</w:t>
            </w:r>
          </w:p>
        </w:tc>
      </w:tr>
      <w:tr>
        <w:tc>
          <w:tcPr>
            <w:tcW w:type="dxa" w:w="5184"/>
          </w:tcPr>
          <w:p>
            <w:pPr>
              <w:spacing w:before="40" w:after="40"/>
            </w:pPr>
            <w:r>
              <w:rPr>
                <w:b w:val="0"/>
                <w:sz w:val="19"/>
              </w:rPr>
              <w:t>Jiji Press</w:t>
            </w:r>
          </w:p>
        </w:tc>
        <w:tc>
          <w:tcPr>
            <w:tcW w:type="dxa" w:w="3744"/>
          </w:tcPr>
          <w:p>
            <w:pPr>
              <w:spacing w:before="40" w:after="40"/>
            </w:pPr>
            <w:r>
              <w:rPr>
                <w:b w:val="0"/>
                <w:sz w:val="19"/>
              </w:rPr>
              <w:t>Native RSS, search fallback</w:t>
            </w:r>
          </w:p>
        </w:tc>
      </w:tr>
      <w:tr>
        <w:tc>
          <w:tcPr>
            <w:tcW w:type="dxa" w:w="5184"/>
            <w:shd w:val="clear" w:color="auto" w:fill="F2F2F2"/>
          </w:tcPr>
          <w:p>
            <w:pPr>
              <w:spacing w:before="40" w:after="40"/>
            </w:pPr>
            <w:r>
              <w:rPr>
                <w:b w:val="0"/>
                <w:sz w:val="19"/>
              </w:rPr>
              <w:t>Kantei / PMO</w:t>
            </w:r>
          </w:p>
        </w:tc>
        <w:tc>
          <w:tcPr>
            <w:tcW w:type="dxa" w:w="3744"/>
            <w:shd w:val="clear" w:color="auto" w:fill="F2F2F2"/>
          </w:tcPr>
          <w:p>
            <w:pPr>
              <w:spacing w:before="40" w:after="40"/>
            </w:pPr>
            <w:r>
              <w:rPr>
                <w:b w:val="0"/>
                <w:sz w:val="19"/>
              </w:rPr>
              <w:t>Native RSS, search fallback</w:t>
            </w:r>
          </w:p>
        </w:tc>
      </w:tr>
      <w:tr>
        <w:tc>
          <w:tcPr>
            <w:tcW w:type="dxa" w:w="5184"/>
          </w:tcPr>
          <w:p>
            <w:pPr>
              <w:spacing w:before="40" w:after="40"/>
            </w:pPr>
            <w:r>
              <w:rPr>
                <w:b w:val="0"/>
                <w:sz w:val="19"/>
              </w:rPr>
              <w:t>Korea Herald re Japan</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Kyodo News</w:t>
            </w:r>
          </w:p>
        </w:tc>
        <w:tc>
          <w:tcPr>
            <w:tcW w:type="dxa" w:w="3744"/>
            <w:shd w:val="clear" w:color="auto" w:fill="F2F2F2"/>
          </w:tcPr>
          <w:p>
            <w:pPr>
              <w:spacing w:before="40" w:after="40"/>
            </w:pPr>
            <w:r>
              <w:rPr>
                <w:b w:val="0"/>
                <w:sz w:val="19"/>
              </w:rPr>
              <w:t>Native RSS, search fallback</w:t>
            </w:r>
          </w:p>
        </w:tc>
      </w:tr>
      <w:tr>
        <w:tc>
          <w:tcPr>
            <w:tcW w:type="dxa" w:w="5184"/>
          </w:tcPr>
          <w:p>
            <w:pPr>
              <w:spacing w:before="40" w:after="40"/>
            </w:pPr>
            <w:r>
              <w:rPr>
                <w:b w:val="0"/>
                <w:sz w:val="19"/>
              </w:rPr>
              <w:t>METI Japan</w:t>
            </w:r>
          </w:p>
        </w:tc>
        <w:tc>
          <w:tcPr>
            <w:tcW w:type="dxa" w:w="3744"/>
          </w:tcPr>
          <w:p>
            <w:pPr>
              <w:spacing w:before="40" w:after="40"/>
            </w:pPr>
            <w:r>
              <w:rPr>
                <w:b w:val="0"/>
                <w:sz w:val="19"/>
              </w:rPr>
              <w:t>Native RSS, search fallback</w:t>
            </w:r>
          </w:p>
        </w:tc>
      </w:tr>
      <w:tr>
        <w:tc>
          <w:tcPr>
            <w:tcW w:type="dxa" w:w="5184"/>
            <w:shd w:val="clear" w:color="auto" w:fill="F2F2F2"/>
          </w:tcPr>
          <w:p>
            <w:pPr>
              <w:spacing w:before="40" w:after="40"/>
            </w:pPr>
            <w:r>
              <w:rPr>
                <w:b w:val="0"/>
                <w:sz w:val="19"/>
              </w:rPr>
              <w:t>MOD Japan</w:t>
            </w:r>
          </w:p>
        </w:tc>
        <w:tc>
          <w:tcPr>
            <w:tcW w:type="dxa" w:w="3744"/>
            <w:shd w:val="clear" w:color="auto" w:fill="F2F2F2"/>
          </w:tcPr>
          <w:p>
            <w:pPr>
              <w:spacing w:before="40" w:after="40"/>
            </w:pPr>
            <w:r>
              <w:rPr>
                <w:b w:val="0"/>
                <w:sz w:val="19"/>
              </w:rPr>
              <w:t>Native RSS, search fallback</w:t>
            </w:r>
          </w:p>
        </w:tc>
      </w:tr>
      <w:tr>
        <w:tc>
          <w:tcPr>
            <w:tcW w:type="dxa" w:w="5184"/>
          </w:tcPr>
          <w:p>
            <w:pPr>
              <w:spacing w:before="40" w:after="40"/>
            </w:pPr>
            <w:r>
              <w:rPr>
                <w:b w:val="0"/>
                <w:sz w:val="19"/>
              </w:rPr>
              <w:t>MOF Japan</w:t>
            </w:r>
          </w:p>
        </w:tc>
        <w:tc>
          <w:tcPr>
            <w:tcW w:type="dxa" w:w="3744"/>
          </w:tcPr>
          <w:p>
            <w:pPr>
              <w:spacing w:before="40" w:after="40"/>
            </w:pPr>
            <w:r>
              <w:rPr>
                <w:b w:val="0"/>
                <w:sz w:val="19"/>
              </w:rPr>
              <w:t>Native RSS, search fallback</w:t>
            </w:r>
          </w:p>
        </w:tc>
      </w:tr>
      <w:tr>
        <w:tc>
          <w:tcPr>
            <w:tcW w:type="dxa" w:w="5184"/>
            <w:shd w:val="clear" w:color="auto" w:fill="F2F2F2"/>
          </w:tcPr>
          <w:p>
            <w:pPr>
              <w:spacing w:before="40" w:after="40"/>
            </w:pPr>
            <w:r>
              <w:rPr>
                <w:b w:val="0"/>
                <w:sz w:val="19"/>
              </w:rPr>
              <w:t>MOFA Japan</w:t>
            </w:r>
          </w:p>
        </w:tc>
        <w:tc>
          <w:tcPr>
            <w:tcW w:type="dxa" w:w="3744"/>
            <w:shd w:val="clear" w:color="auto" w:fill="F2F2F2"/>
          </w:tcPr>
          <w:p>
            <w:pPr>
              <w:spacing w:before="40" w:after="40"/>
            </w:pPr>
            <w:r>
              <w:rPr>
                <w:b w:val="0"/>
                <w:sz w:val="19"/>
              </w:rPr>
              <w:t>Native RSS, search fallback</w:t>
            </w:r>
          </w:p>
        </w:tc>
      </w:tr>
      <w:tr>
        <w:tc>
          <w:tcPr>
            <w:tcW w:type="dxa" w:w="5184"/>
          </w:tcPr>
          <w:p>
            <w:pPr>
              <w:spacing w:before="40" w:after="40"/>
            </w:pPr>
            <w:r>
              <w:rPr>
                <w:b w:val="0"/>
                <w:sz w:val="19"/>
              </w:rPr>
              <w:t>Mainichi</w:t>
            </w:r>
          </w:p>
        </w:tc>
        <w:tc>
          <w:tcPr>
            <w:tcW w:type="dxa" w:w="3744"/>
          </w:tcPr>
          <w:p>
            <w:pPr>
              <w:spacing w:before="40" w:after="40"/>
            </w:pPr>
            <w:r>
              <w:rPr>
                <w:b w:val="0"/>
                <w:sz w:val="19"/>
              </w:rPr>
              <w:t>Native RSS, search fallback</w:t>
            </w:r>
          </w:p>
        </w:tc>
      </w:tr>
      <w:tr>
        <w:tc>
          <w:tcPr>
            <w:tcW w:type="dxa" w:w="5184"/>
            <w:shd w:val="clear" w:color="auto" w:fill="F2F2F2"/>
          </w:tcPr>
          <w:p>
            <w:pPr>
              <w:spacing w:before="40" w:after="40"/>
            </w:pPr>
            <w:r>
              <w:rPr>
                <w:b w:val="0"/>
                <w:sz w:val="19"/>
              </w:rPr>
              <w:t>NHK World</w:t>
            </w:r>
          </w:p>
        </w:tc>
        <w:tc>
          <w:tcPr>
            <w:tcW w:type="dxa" w:w="3744"/>
            <w:shd w:val="clear" w:color="auto" w:fill="F2F2F2"/>
          </w:tcPr>
          <w:p>
            <w:pPr>
              <w:spacing w:before="40" w:after="40"/>
            </w:pPr>
            <w:r>
              <w:rPr>
                <w:b w:val="0"/>
                <w:sz w:val="19"/>
              </w:rPr>
              <w:t>Native RSS, search fallback</w:t>
            </w:r>
          </w:p>
        </w:tc>
      </w:tr>
      <w:tr>
        <w:tc>
          <w:tcPr>
            <w:tcW w:type="dxa" w:w="5184"/>
          </w:tcPr>
          <w:p>
            <w:pPr>
              <w:spacing w:before="40" w:after="40"/>
            </w:pPr>
            <w:r>
              <w:rPr>
                <w:b w:val="0"/>
                <w:sz w:val="19"/>
              </w:rPr>
              <w:t>NYT Japan</w:t>
            </w:r>
          </w:p>
        </w:tc>
        <w:tc>
          <w:tcPr>
            <w:tcW w:type="dxa" w:w="3744"/>
          </w:tcPr>
          <w:p>
            <w:pPr>
              <w:spacing w:before="40" w:after="40"/>
            </w:pPr>
            <w:r>
              <w:rPr>
                <w:b w:val="0"/>
                <w:sz w:val="19"/>
              </w:rPr>
              <w:t>Native RSS, search fallback</w:t>
            </w:r>
          </w:p>
        </w:tc>
      </w:tr>
      <w:tr>
        <w:tc>
          <w:tcPr>
            <w:tcW w:type="dxa" w:w="5184"/>
            <w:shd w:val="clear" w:color="auto" w:fill="F2F2F2"/>
          </w:tcPr>
          <w:p>
            <w:pPr>
              <w:spacing w:before="40" w:after="40"/>
            </w:pPr>
            <w:r>
              <w:rPr>
                <w:b w:val="0"/>
                <w:sz w:val="19"/>
              </w:rPr>
              <w:t>Nikkei Asia</w:t>
            </w:r>
          </w:p>
        </w:tc>
        <w:tc>
          <w:tcPr>
            <w:tcW w:type="dxa" w:w="3744"/>
            <w:shd w:val="clear" w:color="auto" w:fill="F2F2F2"/>
          </w:tcPr>
          <w:p>
            <w:pPr>
              <w:spacing w:before="40" w:after="40"/>
            </w:pPr>
            <w:r>
              <w:rPr>
                <w:b w:val="0"/>
                <w:sz w:val="19"/>
              </w:rPr>
              <w:t>Native RSS, search fallback</w:t>
            </w:r>
          </w:p>
        </w:tc>
      </w:tr>
      <w:tr>
        <w:tc>
          <w:tcPr>
            <w:tcW w:type="dxa" w:w="5184"/>
          </w:tcPr>
          <w:p>
            <w:pPr>
              <w:spacing w:before="40" w:after="40"/>
            </w:pPr>
            <w:r>
              <w:rPr>
                <w:b w:val="0"/>
                <w:sz w:val="19"/>
              </w:rPr>
              <w:t>Observing Japan</w:t>
            </w:r>
          </w:p>
        </w:tc>
        <w:tc>
          <w:tcPr>
            <w:tcW w:type="dxa" w:w="3744"/>
          </w:tcPr>
          <w:p>
            <w:pPr>
              <w:spacing w:before="40" w:after="40"/>
            </w:pPr>
            <w:r>
              <w:rPr>
                <w:b w:val="0"/>
                <w:sz w:val="19"/>
              </w:rPr>
              <w:t>Native RSS, search fallback</w:t>
            </w:r>
          </w:p>
        </w:tc>
      </w:tr>
      <w:tr>
        <w:tc>
          <w:tcPr>
            <w:tcW w:type="dxa" w:w="5184"/>
            <w:shd w:val="clear" w:color="auto" w:fill="F2F2F2"/>
          </w:tcPr>
          <w:p>
            <w:pPr>
              <w:spacing w:before="40" w:after="40"/>
            </w:pPr>
            <w:r>
              <w:rPr>
                <w:b w:val="0"/>
                <w:sz w:val="19"/>
              </w:rPr>
              <w:t>Pentagon Japan</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Rappler re Japan</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Reuters Japan</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State Dept Japan</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TASS re Japan</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The Australian re Japan</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The Diplomat Japan</w:t>
            </w:r>
          </w:p>
        </w:tc>
        <w:tc>
          <w:tcPr>
            <w:tcW w:type="dxa" w:w="3744"/>
            <w:shd w:val="clear" w:color="auto" w:fill="F2F2F2"/>
          </w:tcPr>
          <w:p>
            <w:pPr>
              <w:spacing w:before="40" w:after="40"/>
            </w:pPr>
            <w:r>
              <w:rPr>
                <w:b w:val="0"/>
                <w:sz w:val="19"/>
              </w:rPr>
              <w:t>Native RSS, search fallback</w:t>
            </w:r>
          </w:p>
        </w:tc>
      </w:tr>
      <w:tr>
        <w:tc>
          <w:tcPr>
            <w:tcW w:type="dxa" w:w="5184"/>
          </w:tcPr>
          <w:p>
            <w:pPr>
              <w:spacing w:before="40" w:after="40"/>
            </w:pPr>
            <w:r>
              <w:rPr>
                <w:b w:val="0"/>
                <w:sz w:val="19"/>
              </w:rPr>
              <w:t>Tokyo Review</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Treasury Japan</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USFJ</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USTR Japan</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WSJ Japan</w:t>
            </w:r>
          </w:p>
        </w:tc>
        <w:tc>
          <w:tcPr>
            <w:tcW w:type="dxa" w:w="3744"/>
          </w:tcPr>
          <w:p>
            <w:pPr>
              <w:spacing w:before="40" w:after="40"/>
            </w:pPr>
            <w:r>
              <w:rPr>
                <w:b w:val="0"/>
                <w:sz w:val="19"/>
              </w:rPr>
              <w:t>Native RSS, search fallback</w:t>
            </w:r>
          </w:p>
        </w:tc>
      </w:tr>
      <w:tr>
        <w:tc>
          <w:tcPr>
            <w:tcW w:type="dxa" w:w="5184"/>
            <w:shd w:val="clear" w:color="auto" w:fill="F2F2F2"/>
          </w:tcPr>
          <w:p>
            <w:pPr>
              <w:spacing w:before="40" w:after="40"/>
            </w:pPr>
            <w:r>
              <w:rPr>
                <w:b w:val="0"/>
                <w:sz w:val="19"/>
              </w:rPr>
              <w:t>WaPo Japan</w:t>
            </w:r>
          </w:p>
        </w:tc>
        <w:tc>
          <w:tcPr>
            <w:tcW w:type="dxa" w:w="3744"/>
            <w:shd w:val="clear" w:color="auto" w:fill="F2F2F2"/>
          </w:tcPr>
          <w:p>
            <w:pPr>
              <w:spacing w:before="40" w:after="40"/>
            </w:pPr>
            <w:r>
              <w:rPr>
                <w:b w:val="0"/>
                <w:sz w:val="19"/>
              </w:rPr>
              <w:t>Native RSS, search fallback</w:t>
            </w:r>
          </w:p>
        </w:tc>
      </w:tr>
      <w:tr>
        <w:tc>
          <w:tcPr>
            <w:tcW w:type="dxa" w:w="5184"/>
          </w:tcPr>
          <w:p>
            <w:pPr>
              <w:spacing w:before="40" w:after="40"/>
            </w:pPr>
            <w:r>
              <w:rPr>
                <w:b w:val="0"/>
                <w:sz w:val="19"/>
              </w:rPr>
              <w:t>White House Japan</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Xinhua re Japan</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Yonhap re Japan</w:t>
            </w:r>
          </w:p>
        </w:tc>
        <w:tc>
          <w:tcPr>
            <w:tcW w:type="dxa" w:w="3744"/>
          </w:tcPr>
          <w:p>
            <w:pPr>
              <w:spacing w:before="40" w:after="40"/>
            </w:pPr>
            <w:r>
              <w:rPr>
                <w:b w:val="0"/>
                <w:sz w:val="19"/>
              </w:rPr>
              <w:t>Google News search</w:t>
            </w:r>
          </w:p>
        </w:tc>
      </w:tr>
    </w:tbl>
    <w:p>
      <w:pPr>
        <w:spacing w:after="40"/>
      </w:pPr>
    </w:p>
    <w:p>
      <w:pPr>
        <w:spacing w:before="200" w:after="40"/>
      </w:pPr>
      <w:r>
        <w:rPr>
          <w:b/>
          <w:i w:val="0"/>
          <w:color w:val="111111"/>
          <w:sz w:val="24"/>
        </w:rPr>
        <w:t>Tier 2 — Analysis</w:t>
      </w:r>
    </w:p>
    <w:p>
      <w:pPr>
        <w:spacing w:before="0" w:after="80"/>
      </w:pPr>
      <w:r>
        <w:rPr>
          <w:b w:val="0"/>
          <w:i w:val="0"/>
          <w:color w:val="808080"/>
          <w:sz w:val="20"/>
        </w:rPr>
        <w:t>Think tanks, chairs and commentary.  30 feeds, 1 native, 36-hour window.</w:t>
      </w:r>
    </w:p>
    <w:tbl>
      <w:tblPr>
        <w:tblStyle w:val="TableGrid"/>
        <w:tblW w:type="auto" w:w="0"/>
        <w:jc w:val="left"/>
        <w:tblLook w:firstColumn="1" w:firstRow="1" w:lastColumn="0" w:lastRow="0" w:noHBand="0" w:noVBand="1" w:val="04A0"/>
      </w:tblPr>
      <w:tblGrid>
        <w:gridCol w:w="4703"/>
        <w:gridCol w:w="4703"/>
      </w:tblGrid>
      <w:tr>
        <w:tc>
          <w:tcPr>
            <w:tcW w:type="dxa" w:w="5184"/>
            <w:shd w:val="clear" w:color="auto" w:fill="111111"/>
          </w:tcPr>
          <w:p>
            <w:pPr>
              <w:spacing w:before="40" w:after="40"/>
            </w:pPr>
            <w:r>
              <w:rPr>
                <w:b/>
                <w:color w:val="FFFFFF"/>
                <w:sz w:val="18"/>
              </w:rPr>
              <w:t>Source</w:t>
            </w:r>
          </w:p>
        </w:tc>
        <w:tc>
          <w:tcPr>
            <w:tcW w:type="dxa" w:w="3744"/>
            <w:shd w:val="clear" w:color="auto" w:fill="111111"/>
          </w:tcPr>
          <w:p>
            <w:pPr>
              <w:spacing w:before="40" w:after="40"/>
            </w:pPr>
            <w:r>
              <w:rPr>
                <w:b/>
                <w:color w:val="FFFFFF"/>
                <w:sz w:val="18"/>
              </w:rPr>
              <w:t>How it is reached</w:t>
            </w:r>
          </w:p>
        </w:tc>
      </w:tr>
      <w:tr>
        <w:tc>
          <w:tcPr>
            <w:tcW w:type="dxa" w:w="5184"/>
          </w:tcPr>
          <w:p>
            <w:pPr>
              <w:spacing w:before="40" w:after="40"/>
            </w:pPr>
            <w:r>
              <w:rPr>
                <w:b w:val="0"/>
                <w:sz w:val="19"/>
              </w:rPr>
              <w:t>ASAN Institute</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Asia Policy Point</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Asia Society Policy</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Atlantic Council Japan</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Brookings (Solís)</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CFR (Sheila Smith)</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CRS (Japan)</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CSIS Japan Chair</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Carnegie Japan</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Chicago Council</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East-West Center</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Foreign Affairs Japan</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Foreign Policy Japan</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GMF Japan</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Genron NPO</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Hudson Japan</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IISS Japan</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ISEAS Yusof Ishak</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Japan Economy Watch (Katz)</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Lowy Japan</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MIT/Harvard/G'town Japan</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NBR Japan</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Pacific Forum</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Pew Research (Japan)</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RAND (Hornung) Japan</w:t>
            </w:r>
          </w:p>
        </w:tc>
        <w:tc>
          <w:tcPr>
            <w:tcW w:type="dxa" w:w="3744"/>
          </w:tcPr>
          <w:p>
            <w:pPr>
              <w:spacing w:before="40" w:after="40"/>
            </w:pPr>
            <w:r>
              <w:rPr>
                <w:b w:val="0"/>
                <w:sz w:val="19"/>
              </w:rPr>
              <w:t>Native RSS</w:t>
            </w:r>
          </w:p>
        </w:tc>
      </w:tr>
      <w:tr>
        <w:tc>
          <w:tcPr>
            <w:tcW w:type="dxa" w:w="5184"/>
            <w:shd w:val="clear" w:color="auto" w:fill="F2F2F2"/>
          </w:tcPr>
          <w:p>
            <w:pPr>
              <w:spacing w:before="40" w:after="40"/>
            </w:pPr>
            <w:r>
              <w:rPr>
                <w:b w:val="0"/>
                <w:sz w:val="19"/>
              </w:rPr>
              <w:t>Sasakawa Peace Fdn</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Sasakawa USA</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Stimson Japan</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VUB/CSDS Japan Chair</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War on the Rocks Japan</w:t>
            </w:r>
          </w:p>
        </w:tc>
        <w:tc>
          <w:tcPr>
            <w:tcW w:type="dxa" w:w="3744"/>
            <w:shd w:val="clear" w:color="auto" w:fill="F2F2F2"/>
          </w:tcPr>
          <w:p>
            <w:pPr>
              <w:spacing w:before="40" w:after="40"/>
            </w:pPr>
            <w:r>
              <w:rPr>
                <w:b w:val="0"/>
                <w:sz w:val="19"/>
              </w:rPr>
              <w:t>Google News search</w:t>
            </w:r>
          </w:p>
        </w:tc>
      </w:tr>
    </w:tbl>
    <w:p>
      <w:pPr>
        <w:spacing w:after="40"/>
      </w:pPr>
    </w:p>
    <w:p>
      <w:pPr>
        <w:spacing w:before="200" w:after="40"/>
      </w:pPr>
      <w:r>
        <w:rPr>
          <w:b/>
          <w:i w:val="0"/>
          <w:color w:val="111111"/>
          <w:sz w:val="24"/>
        </w:rPr>
        <w:t>Tier 3 — Academic</w:t>
      </w:r>
    </w:p>
    <w:p>
      <w:pPr>
        <w:spacing w:before="0" w:after="80"/>
      </w:pPr>
      <w:r>
        <w:rPr>
          <w:b w:val="0"/>
          <w:i w:val="0"/>
          <w:color w:val="808080"/>
          <w:sz w:val="20"/>
        </w:rPr>
        <w:t>Peer-reviewed journals in security and Japan studies.  18 feeds, 0 native, 72-hour window.</w:t>
      </w:r>
    </w:p>
    <w:tbl>
      <w:tblPr>
        <w:tblStyle w:val="TableGrid"/>
        <w:tblW w:type="auto" w:w="0"/>
        <w:jc w:val="left"/>
        <w:tblLook w:firstColumn="1" w:firstRow="1" w:lastColumn="0" w:lastRow="0" w:noHBand="0" w:noVBand="1" w:val="04A0"/>
      </w:tblPr>
      <w:tblGrid>
        <w:gridCol w:w="4703"/>
        <w:gridCol w:w="4703"/>
      </w:tblGrid>
      <w:tr>
        <w:tc>
          <w:tcPr>
            <w:tcW w:type="dxa" w:w="5184"/>
            <w:shd w:val="clear" w:color="auto" w:fill="111111"/>
          </w:tcPr>
          <w:p>
            <w:pPr>
              <w:spacing w:before="40" w:after="40"/>
            </w:pPr>
            <w:r>
              <w:rPr>
                <w:b/>
                <w:color w:val="FFFFFF"/>
                <w:sz w:val="18"/>
              </w:rPr>
              <w:t>Source</w:t>
            </w:r>
          </w:p>
        </w:tc>
        <w:tc>
          <w:tcPr>
            <w:tcW w:type="dxa" w:w="3744"/>
            <w:shd w:val="clear" w:color="auto" w:fill="111111"/>
          </w:tcPr>
          <w:p>
            <w:pPr>
              <w:spacing w:before="40" w:after="40"/>
            </w:pPr>
            <w:r>
              <w:rPr>
                <w:b/>
                <w:color w:val="FFFFFF"/>
                <w:sz w:val="18"/>
              </w:rPr>
              <w:t>How it is reached</w:t>
            </w:r>
          </w:p>
        </w:tc>
      </w:tr>
      <w:tr>
        <w:tc>
          <w:tcPr>
            <w:tcW w:type="dxa" w:w="5184"/>
          </w:tcPr>
          <w:p>
            <w:pPr>
              <w:spacing w:before="40" w:after="40"/>
            </w:pPr>
            <w:r>
              <w:rPr>
                <w:b w:val="0"/>
                <w:sz w:val="19"/>
              </w:rPr>
              <w:t>APJ: Japan Focus</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Asia Policy (NBR)</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Asian Security</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Asian Survey</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Contemporary Japan</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Int'l Organization</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Int'l Rel. Asia-Pacific</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Int'l Security</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J. East Asian Studies</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J. Japanese Studies</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J. Strategic Studies</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Japan Review</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Pacific Affairs</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Security Studies</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Social Science Japan J.</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Survival IISS</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The Pacific Review</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Washington Quarterly</w:t>
            </w:r>
          </w:p>
        </w:tc>
        <w:tc>
          <w:tcPr>
            <w:tcW w:type="dxa" w:w="3744"/>
            <w:shd w:val="clear" w:color="auto" w:fill="F2F2F2"/>
          </w:tcPr>
          <w:p>
            <w:pPr>
              <w:spacing w:before="40" w:after="40"/>
            </w:pPr>
            <w:r>
              <w:rPr>
                <w:b w:val="0"/>
                <w:sz w:val="19"/>
              </w:rPr>
              <w:t>Google News search</w:t>
            </w:r>
          </w:p>
        </w:tc>
      </w:tr>
    </w:tbl>
    <w:p>
      <w:pPr>
        <w:spacing w:after="40"/>
      </w:pPr>
    </w:p>
    <w:p>
      <w:pPr>
        <w:spacing w:before="200" w:after="40"/>
      </w:pPr>
      <w:r>
        <w:rPr>
          <w:b/>
          <w:i w:val="0"/>
          <w:color w:val="111111"/>
          <w:sz w:val="24"/>
        </w:rPr>
        <w:t>Tier 4 — Primary statements</w:t>
      </w:r>
    </w:p>
    <w:p>
      <w:pPr>
        <w:spacing w:before="0" w:after="80"/>
      </w:pPr>
      <w:r>
        <w:rPr>
          <w:b w:val="0"/>
          <w:i w:val="0"/>
          <w:color w:val="808080"/>
          <w:sz w:val="20"/>
        </w:rPr>
        <w:t>Official statements and pressers, read as primary text.  9 feeds, 3 native, 48-hour window.</w:t>
      </w:r>
    </w:p>
    <w:tbl>
      <w:tblPr>
        <w:tblStyle w:val="TableGrid"/>
        <w:tblW w:type="auto" w:w="0"/>
        <w:jc w:val="left"/>
        <w:tblLook w:firstColumn="1" w:firstRow="1" w:lastColumn="0" w:lastRow="0" w:noHBand="0" w:noVBand="1" w:val="04A0"/>
      </w:tblPr>
      <w:tblGrid>
        <w:gridCol w:w="4703"/>
        <w:gridCol w:w="4703"/>
      </w:tblGrid>
      <w:tr>
        <w:tc>
          <w:tcPr>
            <w:tcW w:type="dxa" w:w="5184"/>
            <w:shd w:val="clear" w:color="auto" w:fill="111111"/>
          </w:tcPr>
          <w:p>
            <w:pPr>
              <w:spacing w:before="40" w:after="40"/>
            </w:pPr>
            <w:r>
              <w:rPr>
                <w:b/>
                <w:color w:val="FFFFFF"/>
                <w:sz w:val="18"/>
              </w:rPr>
              <w:t>Source</w:t>
            </w:r>
          </w:p>
        </w:tc>
        <w:tc>
          <w:tcPr>
            <w:tcW w:type="dxa" w:w="3744"/>
            <w:shd w:val="clear" w:color="auto" w:fill="111111"/>
          </w:tcPr>
          <w:p>
            <w:pPr>
              <w:spacing w:before="40" w:after="40"/>
            </w:pPr>
            <w:r>
              <w:rPr>
                <w:b/>
                <w:color w:val="FFFFFF"/>
                <w:sz w:val="18"/>
              </w:rPr>
              <w:t>How it is reached</w:t>
            </w:r>
          </w:p>
        </w:tc>
      </w:tr>
      <w:tr>
        <w:tc>
          <w:tcPr>
            <w:tcW w:type="dxa" w:w="5184"/>
          </w:tcPr>
          <w:p>
            <w:pPr>
              <w:spacing w:before="40" w:after="40"/>
            </w:pPr>
            <w:r>
              <w:rPr>
                <w:b w:val="0"/>
                <w:sz w:val="19"/>
              </w:rPr>
              <w:t>BOJ statements</w:t>
            </w:r>
          </w:p>
        </w:tc>
        <w:tc>
          <w:tcPr>
            <w:tcW w:type="dxa" w:w="3744"/>
          </w:tcPr>
          <w:p>
            <w:pPr>
              <w:spacing w:before="40" w:after="40"/>
            </w:pPr>
            <w:r>
              <w:rPr>
                <w:b w:val="0"/>
                <w:sz w:val="19"/>
              </w:rPr>
              <w:t>Native RSS, search fallback</w:t>
            </w:r>
          </w:p>
        </w:tc>
      </w:tr>
      <w:tr>
        <w:tc>
          <w:tcPr>
            <w:tcW w:type="dxa" w:w="5184"/>
            <w:shd w:val="clear" w:color="auto" w:fill="F2F2F2"/>
          </w:tcPr>
          <w:p>
            <w:pPr>
              <w:spacing w:before="40" w:after="40"/>
            </w:pPr>
            <w:r>
              <w:rPr>
                <w:b w:val="0"/>
                <w:sz w:val="19"/>
              </w:rPr>
              <w:t>Chief Cabinet Sec</w:t>
            </w:r>
          </w:p>
        </w:tc>
        <w:tc>
          <w:tcPr>
            <w:tcW w:type="dxa" w:w="3744"/>
            <w:shd w:val="clear" w:color="auto" w:fill="F2F2F2"/>
          </w:tcPr>
          <w:p>
            <w:pPr>
              <w:spacing w:before="40" w:after="40"/>
            </w:pPr>
            <w:r>
              <w:rPr>
                <w:b w:val="0"/>
                <w:sz w:val="19"/>
              </w:rPr>
              <w:t>Native RSS, search fallback</w:t>
            </w:r>
          </w:p>
        </w:tc>
      </w:tr>
      <w:tr>
        <w:tc>
          <w:tcPr>
            <w:tcW w:type="dxa" w:w="5184"/>
          </w:tcPr>
          <w:p>
            <w:pPr>
              <w:spacing w:before="40" w:after="40"/>
            </w:pPr>
            <w:r>
              <w:rPr>
                <w:b w:val="0"/>
                <w:sz w:val="19"/>
              </w:rPr>
              <w:t>China MOFA re Japan</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DPRK re Japan</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Kantei / PM</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METI statements</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MOD / Joint Staff</w:t>
            </w:r>
          </w:p>
        </w:tc>
        <w:tc>
          <w:tcPr>
            <w:tcW w:type="dxa" w:w="3744"/>
          </w:tcPr>
          <w:p>
            <w:pPr>
              <w:spacing w:before="40" w:after="40"/>
            </w:pPr>
            <w:r>
              <w:rPr>
                <w:b w:val="0"/>
                <w:sz w:val="19"/>
              </w:rPr>
              <w:t>Native RSS, search fallback</w:t>
            </w:r>
          </w:p>
        </w:tc>
      </w:tr>
      <w:tr>
        <w:tc>
          <w:tcPr>
            <w:tcW w:type="dxa" w:w="5184"/>
            <w:shd w:val="clear" w:color="auto" w:fill="F2F2F2"/>
          </w:tcPr>
          <w:p>
            <w:pPr>
              <w:spacing w:before="40" w:after="40"/>
            </w:pPr>
            <w:r>
              <w:rPr>
                <w:b w:val="0"/>
                <w:sz w:val="19"/>
              </w:rPr>
              <w:t>MOFA presser</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Russia re Japan</w:t>
            </w:r>
          </w:p>
        </w:tc>
        <w:tc>
          <w:tcPr>
            <w:tcW w:type="dxa" w:w="3744"/>
          </w:tcPr>
          <w:p>
            <w:pPr>
              <w:spacing w:before="40" w:after="40"/>
            </w:pPr>
            <w:r>
              <w:rPr>
                <w:b w:val="0"/>
                <w:sz w:val="19"/>
              </w:rPr>
              <w:t>Google News search</w:t>
            </w:r>
          </w:p>
        </w:tc>
      </w:tr>
    </w:tbl>
    <w:p>
      <w:pPr>
        <w:spacing w:after="40"/>
      </w:pPr>
    </w:p>
    <w:p>
      <w:pPr>
        <w:spacing w:before="200" w:after="40"/>
      </w:pPr>
      <w:r>
        <w:rPr>
          <w:b/>
          <w:i w:val="0"/>
          <w:color w:val="111111"/>
          <w:sz w:val="24"/>
        </w:rPr>
        <w:t>PM appearance tracker</w:t>
      </w:r>
    </w:p>
    <w:p>
      <w:pPr>
        <w:spacing w:before="0" w:after="80"/>
      </w:pPr>
      <w:r>
        <w:rPr>
          <w:b w:val="0"/>
          <w:i w:val="0"/>
          <w:color w:val="808080"/>
          <w:sz w:val="20"/>
        </w:rPr>
        <w:t>Feeds the days-since-last-seen line.  5 feeds, 0 native, 30-day window.</w:t>
      </w:r>
    </w:p>
    <w:tbl>
      <w:tblPr>
        <w:tblStyle w:val="TableGrid"/>
        <w:tblW w:type="auto" w:w="0"/>
        <w:jc w:val="left"/>
        <w:tblLook w:firstColumn="1" w:firstRow="1" w:lastColumn="0" w:lastRow="0" w:noHBand="0" w:noVBand="1" w:val="04A0"/>
      </w:tblPr>
      <w:tblGrid>
        <w:gridCol w:w="4703"/>
        <w:gridCol w:w="4703"/>
      </w:tblGrid>
      <w:tr>
        <w:tc>
          <w:tcPr>
            <w:tcW w:type="dxa" w:w="5184"/>
            <w:shd w:val="clear" w:color="auto" w:fill="111111"/>
          </w:tcPr>
          <w:p>
            <w:pPr>
              <w:spacing w:before="40" w:after="40"/>
            </w:pPr>
            <w:r>
              <w:rPr>
                <w:b/>
                <w:color w:val="FFFFFF"/>
                <w:sz w:val="18"/>
              </w:rPr>
              <w:t>Source</w:t>
            </w:r>
          </w:p>
        </w:tc>
        <w:tc>
          <w:tcPr>
            <w:tcW w:type="dxa" w:w="3744"/>
            <w:shd w:val="clear" w:color="auto" w:fill="111111"/>
          </w:tcPr>
          <w:p>
            <w:pPr>
              <w:spacing w:before="40" w:after="40"/>
            </w:pPr>
            <w:r>
              <w:rPr>
                <w:b/>
                <w:color w:val="FFFFFF"/>
                <w:sz w:val="18"/>
              </w:rPr>
              <w:t>How it is reached</w:t>
            </w:r>
          </w:p>
        </w:tc>
      </w:tr>
      <w:tr>
        <w:tc>
          <w:tcPr>
            <w:tcW w:type="dxa" w:w="5184"/>
          </w:tcPr>
          <w:p>
            <w:pPr>
              <w:spacing w:before="40" w:after="40"/>
            </w:pPr>
            <w:r>
              <w:rPr>
                <w:b w:val="0"/>
                <w:sz w:val="19"/>
              </w:rPr>
              <w:t>PM (by name)</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PM Diet</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PM appearance</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PM diplomacy</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PM press conf</w:t>
            </w:r>
          </w:p>
        </w:tc>
        <w:tc>
          <w:tcPr>
            <w:tcW w:type="dxa" w:w="3744"/>
          </w:tcPr>
          <w:p>
            <w:pPr>
              <w:spacing w:before="40" w:after="40"/>
            </w:pPr>
            <w:r>
              <w:rPr>
                <w:b w:val="0"/>
                <w:sz w:val="19"/>
              </w:rPr>
              <w:t>Google News search</w:t>
            </w:r>
          </w:p>
        </w:tc>
      </w:tr>
    </w:tbl>
    <w:p>
      <w:pPr>
        <w:spacing w:after="40"/>
      </w:pPr>
    </w:p>
    <w:p>
      <w:pPr>
        <w:spacing w:before="200" w:after="40"/>
      </w:pPr>
      <w:r>
        <w:rPr>
          <w:b/>
          <w:i w:val="0"/>
          <w:color w:val="111111"/>
          <w:sz w:val="24"/>
        </w:rPr>
        <w:t>Polling</w:t>
      </w:r>
    </w:p>
    <w:p>
      <w:pPr>
        <w:spacing w:before="0" w:after="80"/>
      </w:pPr>
      <w:r>
        <w:rPr>
          <w:b w:val="0"/>
          <w:i w:val="0"/>
          <w:color w:val="808080"/>
          <w:sz w:val="20"/>
        </w:rPr>
        <w:t>Cabinet approval and party support by pollster.  7 feeds, 0 native, 72-hour window.</w:t>
      </w:r>
    </w:p>
    <w:tbl>
      <w:tblPr>
        <w:tblStyle w:val="TableGrid"/>
        <w:tblW w:type="auto" w:w="0"/>
        <w:jc w:val="left"/>
        <w:tblLook w:firstColumn="1" w:firstRow="1" w:lastColumn="0" w:lastRow="0" w:noHBand="0" w:noVBand="1" w:val="04A0"/>
      </w:tblPr>
      <w:tblGrid>
        <w:gridCol w:w="4703"/>
        <w:gridCol w:w="4703"/>
      </w:tblGrid>
      <w:tr>
        <w:tc>
          <w:tcPr>
            <w:tcW w:type="dxa" w:w="5184"/>
            <w:shd w:val="clear" w:color="auto" w:fill="111111"/>
          </w:tcPr>
          <w:p>
            <w:pPr>
              <w:spacing w:before="40" w:after="40"/>
            </w:pPr>
            <w:r>
              <w:rPr>
                <w:b/>
                <w:color w:val="FFFFFF"/>
                <w:sz w:val="18"/>
              </w:rPr>
              <w:t>Source</w:t>
            </w:r>
          </w:p>
        </w:tc>
        <w:tc>
          <w:tcPr>
            <w:tcW w:type="dxa" w:w="3744"/>
            <w:shd w:val="clear" w:color="auto" w:fill="111111"/>
          </w:tcPr>
          <w:p>
            <w:pPr>
              <w:spacing w:before="40" w:after="40"/>
            </w:pPr>
            <w:r>
              <w:rPr>
                <w:b/>
                <w:color w:val="FFFFFF"/>
                <w:sz w:val="18"/>
              </w:rPr>
              <w:t>How it is reached</w:t>
            </w:r>
          </w:p>
        </w:tc>
      </w:tr>
      <w:tr>
        <w:tc>
          <w:tcPr>
            <w:tcW w:type="dxa" w:w="5184"/>
          </w:tcPr>
          <w:p>
            <w:pPr>
              <w:spacing w:before="40" w:after="40"/>
            </w:pPr>
            <w:r>
              <w:rPr>
                <w:b w:val="0"/>
                <w:sz w:val="19"/>
              </w:rPr>
              <w:t>Asahi poll</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Jiji poll</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Kyodo poll</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Mainichi poll</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NHK poll</w:t>
            </w:r>
          </w:p>
        </w:tc>
        <w:tc>
          <w:tcPr>
            <w:tcW w:type="dxa" w:w="3744"/>
          </w:tcPr>
          <w:p>
            <w:pPr>
              <w:spacing w:before="40" w:after="40"/>
            </w:pPr>
            <w:r>
              <w:rPr>
                <w:b w:val="0"/>
                <w:sz w:val="19"/>
              </w:rPr>
              <w:t>Google News search</w:t>
            </w:r>
          </w:p>
        </w:tc>
      </w:tr>
      <w:tr>
        <w:tc>
          <w:tcPr>
            <w:tcW w:type="dxa" w:w="5184"/>
            <w:shd w:val="clear" w:color="auto" w:fill="F2F2F2"/>
          </w:tcPr>
          <w:p>
            <w:pPr>
              <w:spacing w:before="40" w:after="40"/>
            </w:pPr>
            <w:r>
              <w:rPr>
                <w:b w:val="0"/>
                <w:sz w:val="19"/>
              </w:rPr>
              <w:t>Nikkei poll</w:t>
            </w:r>
          </w:p>
        </w:tc>
        <w:tc>
          <w:tcPr>
            <w:tcW w:type="dxa" w:w="3744"/>
            <w:shd w:val="clear" w:color="auto" w:fill="F2F2F2"/>
          </w:tcPr>
          <w:p>
            <w:pPr>
              <w:spacing w:before="40" w:after="40"/>
            </w:pPr>
            <w:r>
              <w:rPr>
                <w:b w:val="0"/>
                <w:sz w:val="19"/>
              </w:rPr>
              <w:t>Google News search</w:t>
            </w:r>
          </w:p>
        </w:tc>
      </w:tr>
      <w:tr>
        <w:tc>
          <w:tcPr>
            <w:tcW w:type="dxa" w:w="5184"/>
          </w:tcPr>
          <w:p>
            <w:pPr>
              <w:spacing w:before="40" w:after="40"/>
            </w:pPr>
            <w:r>
              <w:rPr>
                <w:b w:val="0"/>
                <w:sz w:val="19"/>
              </w:rPr>
              <w:t>Yomiuri poll</w:t>
            </w:r>
          </w:p>
        </w:tc>
        <w:tc>
          <w:tcPr>
            <w:tcW w:type="dxa" w:w="3744"/>
          </w:tcPr>
          <w:p>
            <w:pPr>
              <w:spacing w:before="40" w:after="40"/>
            </w:pPr>
            <w:r>
              <w:rPr>
                <w:b w:val="0"/>
                <w:sz w:val="19"/>
              </w:rPr>
              <w:t>Google News search</w:t>
            </w:r>
          </w:p>
        </w:tc>
      </w:tr>
    </w:tbl>
    <w:p>
      <w:pPr>
        <w:spacing w:after="40"/>
      </w:pPr>
    </w:p>
    <w:p>
      <w:r>
        <w:br w:type="page"/>
      </w:r>
    </w:p>
    <w:p>
      <w:pPr>
        <w:spacing w:before="320" w:after="80"/>
        <w:pBdr>
          <w:bottom w:val="single" w:sz="6" w:space="1" w:color="111111"/>
        </w:pBdr>
      </w:pPr>
      <w:r>
        <w:rPr>
          <w:b/>
          <w:i w:val="0"/>
          <w:color w:val="111111"/>
          <w:sz w:val="34"/>
        </w:rPr>
        <w:t>6.  What Each Issue Covers</w:t>
      </w:r>
    </w:p>
    <w:p>
      <w:pPr>
        <w:spacing w:before="0" w:after="120"/>
      </w:pPr>
      <w:r>
        <w:rPr>
          <w:b w:val="0"/>
          <w:i w:val="0"/>
          <w:color w:val="444444"/>
          <w:sz w:val="22"/>
        </w:rPr>
        <w:t>Sections in the order they appear in the email. A section with nothing behind it that day is absent rather than padded — an empty section is a signal, and filling it would destroy the signal.</w:t>
      </w:r>
    </w:p>
    <w:tbl>
      <w:tblPr>
        <w:tblStyle w:val="TableGrid"/>
        <w:tblW w:type="auto" w:w="0"/>
        <w:jc w:val="left"/>
        <w:tblLook w:firstColumn="1" w:firstRow="1" w:lastColumn="0" w:lastRow="0" w:noHBand="0" w:noVBand="1" w:val="04A0"/>
      </w:tblPr>
      <w:tblGrid>
        <w:gridCol w:w="3135"/>
        <w:gridCol w:w="3135"/>
        <w:gridCol w:w="3135"/>
      </w:tblGrid>
      <w:tr>
        <w:tc>
          <w:tcPr>
            <w:tcW w:type="dxa" w:w="2448"/>
            <w:shd w:val="clear" w:color="auto" w:fill="111111"/>
          </w:tcPr>
          <w:p>
            <w:pPr>
              <w:spacing w:before="40" w:after="40"/>
            </w:pPr>
            <w:r>
              <w:rPr>
                <w:b/>
                <w:color w:val="FFFFFF"/>
                <w:sz w:val="18"/>
              </w:rPr>
              <w:t>Section</w:t>
            </w:r>
          </w:p>
        </w:tc>
        <w:tc>
          <w:tcPr>
            <w:tcW w:type="dxa" w:w="1152"/>
            <w:shd w:val="clear" w:color="auto" w:fill="111111"/>
          </w:tcPr>
          <w:p>
            <w:pPr>
              <w:spacing w:before="40" w:after="40"/>
            </w:pPr>
            <w:r>
              <w:rPr>
                <w:b/>
                <w:color w:val="FFFFFF"/>
                <w:sz w:val="18"/>
              </w:rPr>
              <w:t>Limit</w:t>
            </w:r>
          </w:p>
        </w:tc>
        <w:tc>
          <w:tcPr>
            <w:tcW w:type="dxa" w:w="5328"/>
            <w:shd w:val="clear" w:color="auto" w:fill="111111"/>
          </w:tcPr>
          <w:p>
            <w:pPr>
              <w:spacing w:before="40" w:after="40"/>
            </w:pPr>
            <w:r>
              <w:rPr>
                <w:b/>
                <w:color w:val="FFFFFF"/>
                <w:sz w:val="18"/>
              </w:rPr>
              <w:t>Content</w:t>
            </w:r>
          </w:p>
        </w:tc>
      </w:tr>
      <w:tr>
        <w:tc>
          <w:tcPr>
            <w:tcW w:type="dxa" w:w="2448"/>
          </w:tcPr>
          <w:p>
            <w:pPr>
              <w:spacing w:before="40" w:after="40"/>
            </w:pPr>
            <w:r>
              <w:rPr>
                <w:b w:val="0"/>
                <w:sz w:val="19"/>
              </w:rPr>
              <w:t>Today at a Glance</w:t>
            </w:r>
          </w:p>
        </w:tc>
        <w:tc>
          <w:tcPr>
            <w:tcW w:type="dxa" w:w="1152"/>
          </w:tcPr>
          <w:p>
            <w:pPr>
              <w:spacing w:before="40" w:after="40"/>
            </w:pPr>
            <w:r>
              <w:rPr>
                <w:b w:val="0"/>
                <w:sz w:val="19"/>
              </w:rPr>
              <w:t>3 items</w:t>
            </w:r>
          </w:p>
        </w:tc>
        <w:tc>
          <w:tcPr>
            <w:tcW w:type="dxa" w:w="5328"/>
          </w:tcPr>
          <w:p>
            <w:pPr>
              <w:spacing w:before="40" w:after="40"/>
            </w:pPr>
            <w:r>
              <w:rPr>
                <w:b w:val="0"/>
                <w:sz w:val="19"/>
              </w:rPr>
              <w:t>The morning memo: what a Japan desk officer says in the elevator. One sentence each, verb first.</w:t>
            </w:r>
          </w:p>
        </w:tc>
      </w:tr>
      <w:tr>
        <w:tc>
          <w:tcPr>
            <w:tcW w:type="dxa" w:w="2448"/>
            <w:shd w:val="clear" w:color="auto" w:fill="F2F2F2"/>
          </w:tcPr>
          <w:p>
            <w:pPr>
              <w:spacing w:before="40" w:after="40"/>
            </w:pPr>
            <w:r>
              <w:rPr>
                <w:b w:val="0"/>
                <w:sz w:val="19"/>
              </w:rPr>
              <w:t>Top Stories</w:t>
            </w:r>
          </w:p>
        </w:tc>
        <w:tc>
          <w:tcPr>
            <w:tcW w:type="dxa" w:w="1152"/>
            <w:shd w:val="clear" w:color="auto" w:fill="F2F2F2"/>
          </w:tcPr>
          <w:p>
            <w:pPr>
              <w:spacing w:before="40" w:after="40"/>
            </w:pPr>
            <w:r>
              <w:rPr>
                <w:b w:val="0"/>
                <w:sz w:val="19"/>
              </w:rPr>
              <w:t>2–4</w:t>
            </w:r>
          </w:p>
        </w:tc>
        <w:tc>
          <w:tcPr>
            <w:tcW w:type="dxa" w:w="5328"/>
            <w:shd w:val="clear" w:color="auto" w:fill="F2F2F2"/>
          </w:tcPr>
          <w:p>
            <w:pPr>
              <w:spacing w:before="40" w:after="40"/>
            </w:pPr>
            <w:r>
              <w:rPr>
                <w:b w:val="0"/>
                <w:sz w:val="19"/>
              </w:rPr>
              <w:t>Hard news only — wires, correspondents, the Japanese press, government. Never op-eds or think-tank commentary.</w:t>
            </w:r>
          </w:p>
        </w:tc>
      </w:tr>
      <w:tr>
        <w:tc>
          <w:tcPr>
            <w:tcW w:type="dxa" w:w="2448"/>
          </w:tcPr>
          <w:p>
            <w:pPr>
              <w:spacing w:before="40" w:after="40"/>
            </w:pPr>
            <w:r>
              <w:rPr>
                <w:b w:val="0"/>
                <w:sz w:val="19"/>
              </w:rPr>
              <w:t>Overnight</w:t>
            </w:r>
          </w:p>
        </w:tc>
        <w:tc>
          <w:tcPr>
            <w:tcW w:type="dxa" w:w="1152"/>
          </w:tcPr>
          <w:p>
            <w:pPr>
              <w:spacing w:before="40" w:after="40"/>
            </w:pPr>
            <w:r>
              <w:rPr>
                <w:b w:val="0"/>
                <w:sz w:val="19"/>
              </w:rPr>
              <w:t>6 max</w:t>
            </w:r>
          </w:p>
        </w:tc>
        <w:tc>
          <w:tcPr>
            <w:tcW w:type="dxa" w:w="5328"/>
          </w:tcPr>
          <w:p>
            <w:pPr>
              <w:spacing w:before="40" w:after="40"/>
            </w:pPr>
            <w:r>
              <w:rPr>
                <w:b w:val="0"/>
                <w:sz w:val="19"/>
              </w:rPr>
              <w:t>What moved while Washington slept. Headline on one line, a two-sentence summary on the next.</w:t>
            </w:r>
          </w:p>
        </w:tc>
      </w:tr>
      <w:tr>
        <w:tc>
          <w:tcPr>
            <w:tcW w:type="dxa" w:w="2448"/>
            <w:shd w:val="clear" w:color="auto" w:fill="F2F2F2"/>
          </w:tcPr>
          <w:p>
            <w:pPr>
              <w:spacing w:before="40" w:after="40"/>
            </w:pPr>
            <w:r>
              <w:rPr>
                <w:b w:val="0"/>
                <w:sz w:val="19"/>
              </w:rPr>
              <w:t>Stat of the Day</w:t>
            </w:r>
          </w:p>
        </w:tc>
        <w:tc>
          <w:tcPr>
            <w:tcW w:type="dxa" w:w="1152"/>
            <w:shd w:val="clear" w:color="auto" w:fill="F2F2F2"/>
          </w:tcPr>
          <w:p>
            <w:pPr>
              <w:spacing w:before="40" w:after="40"/>
            </w:pPr>
            <w:r>
              <w:rPr>
                <w:b w:val="0"/>
                <w:sz w:val="19"/>
              </w:rPr>
              <w:t>1 figure</w:t>
            </w:r>
          </w:p>
        </w:tc>
        <w:tc>
          <w:tcPr>
            <w:tcW w:type="dxa" w:w="5328"/>
            <w:shd w:val="clear" w:color="auto" w:fill="F2F2F2"/>
          </w:tcPr>
          <w:p>
            <w:pPr>
              <w:spacing w:before="40" w:after="40"/>
            </w:pPr>
            <w:r>
              <w:rPr>
                <w:b w:val="0"/>
                <w:sz w:val="19"/>
              </w:rPr>
              <w:t>A single striking number from the day's reporting, and it must differ from yesterday's.</w:t>
            </w:r>
          </w:p>
        </w:tc>
      </w:tr>
      <w:tr>
        <w:tc>
          <w:tcPr>
            <w:tcW w:type="dxa" w:w="2448"/>
          </w:tcPr>
          <w:p>
            <w:pPr>
              <w:spacing w:before="40" w:after="40"/>
            </w:pPr>
            <w:r>
              <w:rPr>
                <w:b w:val="0"/>
                <w:sz w:val="19"/>
              </w:rPr>
              <w:t>Upcoming</w:t>
            </w:r>
          </w:p>
        </w:tc>
        <w:tc>
          <w:tcPr>
            <w:tcW w:type="dxa" w:w="1152"/>
          </w:tcPr>
          <w:p>
            <w:pPr>
              <w:spacing w:before="40" w:after="40"/>
            </w:pPr>
            <w:r>
              <w:rPr>
                <w:b w:val="0"/>
                <w:sz w:val="19"/>
              </w:rPr>
              <w:t>4–5 events</w:t>
            </w:r>
          </w:p>
        </w:tc>
        <w:tc>
          <w:tcPr>
            <w:tcW w:type="dxa" w:w="5328"/>
          </w:tcPr>
          <w:p>
            <w:pPr>
              <w:spacing w:before="40" w:after="40"/>
            </w:pPr>
            <w:r>
              <w:rPr>
                <w:b w:val="0"/>
                <w:sz w:val="19"/>
              </w:rPr>
              <w:t>The next 14–30 days. Dates come from the day's articles or the verified calendar, never from memory.</w:t>
            </w:r>
          </w:p>
        </w:tc>
      </w:tr>
      <w:tr>
        <w:tc>
          <w:tcPr>
            <w:tcW w:type="dxa" w:w="2448"/>
            <w:shd w:val="clear" w:color="auto" w:fill="F2F2F2"/>
          </w:tcPr>
          <w:p>
            <w:pPr>
              <w:spacing w:before="40" w:after="40"/>
            </w:pPr>
            <w:r>
              <w:rPr>
                <w:b w:val="0"/>
                <w:sz w:val="19"/>
              </w:rPr>
              <w:t>Japanese Government</w:t>
            </w:r>
          </w:p>
        </w:tc>
        <w:tc>
          <w:tcPr>
            <w:tcW w:type="dxa" w:w="1152"/>
            <w:shd w:val="clear" w:color="auto" w:fill="F2F2F2"/>
          </w:tcPr>
          <w:p>
            <w:pPr>
              <w:spacing w:before="40" w:after="40"/>
            </w:pPr>
            <w:r>
              <w:rPr>
                <w:b w:val="0"/>
                <w:sz w:val="19"/>
              </w:rPr>
              <w:t>variable</w:t>
            </w:r>
          </w:p>
        </w:tc>
        <w:tc>
          <w:tcPr>
            <w:tcW w:type="dxa" w:w="5328"/>
            <w:shd w:val="clear" w:color="auto" w:fill="F2F2F2"/>
          </w:tcPr>
          <w:p>
            <w:pPr>
              <w:spacing w:before="40" w:after="40"/>
            </w:pPr>
            <w:r>
              <w:rPr>
                <w:b w:val="0"/>
                <w:sz w:val="19"/>
              </w:rPr>
              <w:t>Kantei, Chief Cabinet Secretary, MOFA, MOD and Joint Staff, METI, MOF, BOJ, NSS — ministry named in Japanese and English.</w:t>
            </w:r>
          </w:p>
        </w:tc>
      </w:tr>
      <w:tr>
        <w:tc>
          <w:tcPr>
            <w:tcW w:type="dxa" w:w="2448"/>
          </w:tcPr>
          <w:p>
            <w:pPr>
              <w:spacing w:before="40" w:after="40"/>
            </w:pPr>
            <w:r>
              <w:rPr>
                <w:b w:val="0"/>
                <w:sz w:val="19"/>
              </w:rPr>
              <w:t>Business &amp; Economy</w:t>
            </w:r>
          </w:p>
        </w:tc>
        <w:tc>
          <w:tcPr>
            <w:tcW w:type="dxa" w:w="1152"/>
          </w:tcPr>
          <w:p>
            <w:pPr>
              <w:spacing w:before="40" w:after="40"/>
            </w:pPr>
            <w:r>
              <w:rPr>
                <w:b w:val="0"/>
                <w:sz w:val="19"/>
              </w:rPr>
              <w:t>up to 6</w:t>
            </w:r>
          </w:p>
        </w:tc>
        <w:tc>
          <w:tcPr>
            <w:tcW w:type="dxa" w:w="5328"/>
          </w:tcPr>
          <w:p>
            <w:pPr>
              <w:spacing w:before="40" w:after="40"/>
            </w:pPr>
            <w:r>
              <w:rPr>
                <w:b w:val="0"/>
                <w:sz w:val="19"/>
              </w:rPr>
              <w:t>Figures, companies and sector. The $550bn US–Japan investment framework is a standing priority when the day carries it.</w:t>
            </w:r>
          </w:p>
        </w:tc>
      </w:tr>
      <w:tr>
        <w:tc>
          <w:tcPr>
            <w:tcW w:type="dxa" w:w="2448"/>
            <w:shd w:val="clear" w:color="auto" w:fill="F2F2F2"/>
          </w:tcPr>
          <w:p>
            <w:pPr>
              <w:spacing w:before="40" w:after="40"/>
            </w:pPr>
            <w:r>
              <w:rPr>
                <w:b w:val="0"/>
                <w:sz w:val="19"/>
              </w:rPr>
              <w:t>Indo-Pacific</w:t>
            </w:r>
          </w:p>
        </w:tc>
        <w:tc>
          <w:tcPr>
            <w:tcW w:type="dxa" w:w="1152"/>
            <w:shd w:val="clear" w:color="auto" w:fill="F2F2F2"/>
          </w:tcPr>
          <w:p>
            <w:pPr>
              <w:spacing w:before="40" w:after="40"/>
            </w:pPr>
            <w:r>
              <w:rPr>
                <w:b w:val="0"/>
                <w:sz w:val="19"/>
              </w:rPr>
              <w:t>4–6</w:t>
            </w:r>
          </w:p>
        </w:tc>
        <w:tc>
          <w:tcPr>
            <w:tcW w:type="dxa" w:w="5328"/>
            <w:shd w:val="clear" w:color="auto" w:fill="F2F2F2"/>
          </w:tcPr>
          <w:p>
            <w:pPr>
              <w:spacing w:before="40" w:after="40"/>
            </w:pPr>
            <w:r>
              <w:rPr>
                <w:b w:val="0"/>
                <w:sz w:val="19"/>
              </w:rPr>
              <w:t>China–Japan, Korea–Japan, the DPRK, the trilateral, the Quad, Taiwan, Southeast Asia, Australia, India — each as it bears on Japan.</w:t>
            </w:r>
          </w:p>
        </w:tc>
      </w:tr>
      <w:tr>
        <w:tc>
          <w:tcPr>
            <w:tcW w:type="dxa" w:w="2448"/>
          </w:tcPr>
          <w:p>
            <w:pPr>
              <w:spacing w:before="40" w:after="40"/>
            </w:pPr>
            <w:r>
              <w:rPr>
                <w:b w:val="0"/>
                <w:sz w:val="19"/>
              </w:rPr>
              <w:t>Diet Watch</w:t>
            </w:r>
          </w:p>
        </w:tc>
        <w:tc>
          <w:tcPr>
            <w:tcW w:type="dxa" w:w="1152"/>
          </w:tcPr>
          <w:p>
            <w:pPr>
              <w:spacing w:before="40" w:after="40"/>
            </w:pPr>
            <w:r>
              <w:rPr>
                <w:b w:val="0"/>
                <w:sz w:val="19"/>
              </w:rPr>
              <w:t>variable</w:t>
            </w:r>
          </w:p>
        </w:tc>
        <w:tc>
          <w:tcPr>
            <w:tcW w:type="dxa" w:w="5328"/>
          </w:tcPr>
          <w:p>
            <w:pPr>
              <w:spacing w:before="40" w:after="40"/>
            </w:pPr>
            <w:r>
              <w:rPr>
                <w:b w:val="0"/>
                <w:sz w:val="19"/>
              </w:rPr>
              <w:t>Floor and committee activity, bills, the budget, LDP and coalition manoeuvring.</w:t>
            </w:r>
          </w:p>
        </w:tc>
      </w:tr>
      <w:tr>
        <w:tc>
          <w:tcPr>
            <w:tcW w:type="dxa" w:w="2448"/>
            <w:shd w:val="clear" w:color="auto" w:fill="F2F2F2"/>
          </w:tcPr>
          <w:p>
            <w:pPr>
              <w:spacing w:before="40" w:after="40"/>
            </w:pPr>
            <w:r>
              <w:rPr>
                <w:b w:val="0"/>
                <w:sz w:val="19"/>
              </w:rPr>
              <w:t>Op-Eds, Commentaries &amp; Events</w:t>
            </w:r>
          </w:p>
        </w:tc>
        <w:tc>
          <w:tcPr>
            <w:tcW w:type="dxa" w:w="1152"/>
            <w:shd w:val="clear" w:color="auto" w:fill="F2F2F2"/>
          </w:tcPr>
          <w:p>
            <w:pPr>
              <w:spacing w:before="40" w:after="40"/>
            </w:pPr>
            <w:r>
              <w:rPr>
                <w:b w:val="0"/>
                <w:sz w:val="19"/>
              </w:rPr>
              <w:t>tier 2</w:t>
            </w:r>
          </w:p>
        </w:tc>
        <w:tc>
          <w:tcPr>
            <w:tcW w:type="dxa" w:w="5328"/>
            <w:shd w:val="clear" w:color="auto" w:fill="F2F2F2"/>
          </w:tcPr>
          <w:p>
            <w:pPr>
              <w:spacing w:before="40" w:after="40"/>
            </w:pPr>
            <w:r>
              <w:rPr>
                <w:b w:val="0"/>
                <w:sz w:val="19"/>
              </w:rPr>
              <w:t>Think-tank and commentary output, ordered by prestige and then by score.</w:t>
            </w:r>
          </w:p>
        </w:tc>
      </w:tr>
      <w:tr>
        <w:tc>
          <w:tcPr>
            <w:tcW w:type="dxa" w:w="2448"/>
          </w:tcPr>
          <w:p>
            <w:pPr>
              <w:spacing w:before="40" w:after="40"/>
            </w:pPr>
            <w:r>
              <w:rPr>
                <w:b w:val="0"/>
                <w:sz w:val="19"/>
              </w:rPr>
              <w:t>Public Sentiment &amp; Approval Polling</w:t>
            </w:r>
          </w:p>
        </w:tc>
        <w:tc>
          <w:tcPr>
            <w:tcW w:type="dxa" w:w="1152"/>
          </w:tcPr>
          <w:p>
            <w:pPr>
              <w:spacing w:before="40" w:after="40"/>
            </w:pPr>
            <w:r>
              <w:rPr>
                <w:b w:val="0"/>
                <w:sz w:val="19"/>
              </w:rPr>
              <w:t>live fetch</w:t>
            </w:r>
          </w:p>
        </w:tc>
        <w:tc>
          <w:tcPr>
            <w:tcW w:type="dxa" w:w="5328"/>
          </w:tcPr>
          <w:p>
            <w:pPr>
              <w:spacing w:before="40" w:after="40"/>
            </w:pPr>
            <w:r>
              <w:rPr>
                <w:b w:val="0"/>
                <w:sz w:val="19"/>
              </w:rPr>
              <w:t>Cabinet approval and party support, fetched before each issue rather than recalled.</w:t>
            </w:r>
          </w:p>
        </w:tc>
      </w:tr>
      <w:tr>
        <w:tc>
          <w:tcPr>
            <w:tcW w:type="dxa" w:w="2448"/>
            <w:shd w:val="clear" w:color="auto" w:fill="F2F2F2"/>
          </w:tcPr>
          <w:p>
            <w:pPr>
              <w:spacing w:before="40" w:after="40"/>
            </w:pPr>
            <w:r>
              <w:rPr>
                <w:b w:val="0"/>
                <w:sz w:val="19"/>
              </w:rPr>
              <w:t>Social Statements</w:t>
            </w:r>
          </w:p>
        </w:tc>
        <w:tc>
          <w:tcPr>
            <w:tcW w:type="dxa" w:w="1152"/>
            <w:shd w:val="clear" w:color="auto" w:fill="F2F2F2"/>
          </w:tcPr>
          <w:p>
            <w:pPr>
              <w:spacing w:before="40" w:after="40"/>
            </w:pPr>
            <w:r>
              <w:rPr>
                <w:b w:val="0"/>
                <w:sz w:val="19"/>
              </w:rPr>
              <w:t>0–4</w:t>
            </w:r>
          </w:p>
        </w:tc>
        <w:tc>
          <w:tcPr>
            <w:tcW w:type="dxa" w:w="5328"/>
            <w:shd w:val="clear" w:color="auto" w:fill="F2F2F2"/>
          </w:tcPr>
          <w:p>
            <w:pPr>
              <w:spacing w:before="40" w:after="40"/>
            </w:pPr>
            <w:r>
              <w:rPr>
                <w:b w:val="0"/>
                <w:sz w:val="19"/>
              </w:rPr>
              <w:t>Verbatim quotation from senior officials. A quotation section, not a second headline digest.</w:t>
            </w:r>
          </w:p>
        </w:tc>
      </w:tr>
      <w:tr>
        <w:tc>
          <w:tcPr>
            <w:tcW w:type="dxa" w:w="2448"/>
          </w:tcPr>
          <w:p>
            <w:pPr>
              <w:spacing w:before="40" w:after="40"/>
            </w:pPr>
            <w:r>
              <w:rPr>
                <w:b w:val="0"/>
                <w:sz w:val="19"/>
              </w:rPr>
              <w:t>The Wire</w:t>
            </w:r>
          </w:p>
        </w:tc>
        <w:tc>
          <w:tcPr>
            <w:tcW w:type="dxa" w:w="1152"/>
          </w:tcPr>
          <w:p>
            <w:pPr>
              <w:spacing w:before="40" w:after="40"/>
            </w:pPr>
            <w:r>
              <w:rPr>
                <w:b w:val="0"/>
                <w:sz w:val="19"/>
              </w:rPr>
              <w:t>up to 6</w:t>
            </w:r>
          </w:p>
        </w:tc>
        <w:tc>
          <w:tcPr>
            <w:tcW w:type="dxa" w:w="5328"/>
          </w:tcPr>
          <w:p>
            <w:pPr>
              <w:spacing w:before="40" w:after="40"/>
            </w:pPr>
            <w:r>
              <w:rPr>
                <w:b w:val="0"/>
                <w:sz w:val="19"/>
              </w:rPr>
              <w:t>Everything else that cleared the scoring threshold, grouped by subject.</w:t>
            </w:r>
          </w:p>
        </w:tc>
      </w:tr>
      <w:tr>
        <w:tc>
          <w:tcPr>
            <w:tcW w:type="dxa" w:w="2448"/>
            <w:shd w:val="clear" w:color="auto" w:fill="F2F2F2"/>
          </w:tcPr>
          <w:p>
            <w:pPr>
              <w:spacing w:before="40" w:after="40"/>
            </w:pPr>
            <w:r>
              <w:rPr>
                <w:b w:val="0"/>
                <w:sz w:val="19"/>
              </w:rPr>
              <w:t>On This Day</w:t>
            </w:r>
          </w:p>
        </w:tc>
        <w:tc>
          <w:tcPr>
            <w:tcW w:type="dxa" w:w="1152"/>
            <w:shd w:val="clear" w:color="auto" w:fill="F2F2F2"/>
          </w:tcPr>
          <w:p>
            <w:pPr>
              <w:spacing w:before="40" w:after="40"/>
            </w:pPr>
            <w:r>
              <w:rPr>
                <w:b w:val="0"/>
                <w:sz w:val="19"/>
              </w:rPr>
              <w:t>0–1</w:t>
            </w:r>
          </w:p>
        </w:tc>
        <w:tc>
          <w:tcPr>
            <w:tcW w:type="dxa" w:w="5328"/>
            <w:shd w:val="clear" w:color="auto" w:fill="F2F2F2"/>
          </w:tcPr>
          <w:p>
            <w:pPr>
              <w:spacing w:before="40" w:after="40"/>
            </w:pPr>
            <w:r>
              <w:rPr>
                <w:b w:val="0"/>
                <w:sz w:val="19"/>
              </w:rPr>
              <w:t>Only from the verified Japan dates file, and only on an exact month-and-day match. Empty is the normal state.</w:t>
            </w:r>
          </w:p>
        </w:tc>
      </w:tr>
    </w:tbl>
    <w:p>
      <w:pPr>
        <w:spacing w:after="40"/>
      </w:pPr>
    </w:p>
    <w:p>
      <w:pPr>
        <w:spacing w:before="320" w:after="80"/>
        <w:pBdr>
          <w:bottom w:val="single" w:sz="6" w:space="1" w:color="111111"/>
        </w:pBdr>
      </w:pPr>
      <w:r>
        <w:rPr>
          <w:b/>
          <w:i w:val="0"/>
          <w:color w:val="111111"/>
          <w:sz w:val="34"/>
        </w:rPr>
        <w:t>7.  The Rules That Constrain It</w:t>
      </w:r>
    </w:p>
    <w:p>
      <w:pPr>
        <w:spacing w:before="0" w:after="160"/>
      </w:pPr>
      <w:r>
        <w:rPr>
          <w:b w:val="0"/>
          <w:i w:val="0"/>
          <w:color w:val="444444"/>
          <w:sz w:val="22"/>
        </w:rPr>
        <w:t>These are enforced in code after the model writes, not merely asked for in the prompt. That distinction is the whole credibility argument: a rule the model is asked to follow is a preference, and a rule the pipeline checks is a guarantee.</w:t>
      </w:r>
    </w:p>
    <w:p>
      <w:pPr>
        <w:spacing w:before="120" w:after="200"/>
        <w:ind w:left="288"/>
        <w:pBdr>
          <w:left w:val="single" w:sz="12" w:space="6" w:color="111111"/>
        </w:pBdr>
      </w:pPr>
      <w:r>
        <w:rPr>
          <w:b/>
          <w:color w:val="111111"/>
          <w:sz w:val="20"/>
        </w:rPr>
        <w:t xml:space="preserve">Source-or-skip  </w:t>
      </w:r>
      <w:r>
        <w:rPr>
          <w:color w:val="444444"/>
          <w:sz w:val="21"/>
        </w:rPr>
        <w:t>Every factual claim must trace to an article collected that morning or to a baseline supplied in the prompt. A claim from neither is omitted. An item whose link cannot be traced back to a collected article is now dropped outright rather than printed without one — the earlier behaviour published the violation instead of catching it.</w:t>
      </w:r>
    </w:p>
    <w:p>
      <w:pPr>
        <w:spacing w:before="120" w:after="200"/>
        <w:ind w:left="288"/>
        <w:pBdr>
          <w:left w:val="single" w:sz="12" w:space="6" w:color="111111"/>
        </w:pBdr>
      </w:pPr>
      <w:r>
        <w:rPr>
          <w:b/>
          <w:color w:val="111111"/>
          <w:sz w:val="20"/>
        </w:rPr>
        <w:t xml:space="preserve">Same-poll-date  </w:t>
      </w:r>
      <w:r>
        <w:rPr>
          <w:color w:val="444444"/>
          <w:sz w:val="21"/>
        </w:rPr>
        <w:t>Every figure inside one poll object comes from a single pollster's single survey over one date range. Approval and party support are never blended across weeks or across houses.</w:t>
      </w:r>
    </w:p>
    <w:p>
      <w:pPr>
        <w:spacing w:before="120" w:after="200"/>
        <w:ind w:left="288"/>
        <w:pBdr>
          <w:left w:val="single" w:sz="12" w:space="6" w:color="111111"/>
        </w:pBdr>
      </w:pPr>
      <w:r>
        <w:rPr>
          <w:b/>
          <w:color w:val="111111"/>
          <w:sz w:val="20"/>
        </w:rPr>
        <w:t xml:space="preserve">Dates from sources only  </w:t>
      </w:r>
      <w:r>
        <w:rPr>
          <w:color w:val="444444"/>
          <w:sz w:val="21"/>
        </w:rPr>
        <w:t>Calendar entries and anniversaries use dates found in the day's articles or in the verified dates file. Nothing is recalled. A standing fixture with no announced date is described as a window or left out, never given a day.</w:t>
      </w:r>
    </w:p>
    <w:p>
      <w:pPr>
        <w:spacing w:before="120" w:after="200"/>
        <w:ind w:left="288"/>
        <w:pBdr>
          <w:left w:val="single" w:sz="12" w:space="6" w:color="111111"/>
        </w:pBdr>
      </w:pPr>
      <w:r>
        <w:rPr>
          <w:b/>
          <w:color w:val="111111"/>
          <w:sz w:val="20"/>
        </w:rPr>
        <w:t xml:space="preserve">Source diversity  </w:t>
      </w:r>
      <w:r>
        <w:rPr>
          <w:color w:val="444444"/>
          <w:sz w:val="21"/>
        </w:rPr>
        <w:t>No more than three Overnight items from any one outlet, and ranking takes one article per source before any source gets a second.</w:t>
      </w:r>
    </w:p>
    <w:p>
      <w:pPr>
        <w:spacing w:before="120" w:after="200"/>
        <w:ind w:left="288"/>
        <w:pBdr>
          <w:left w:val="single" w:sz="12" w:space="6" w:color="111111"/>
        </w:pBdr>
      </w:pPr>
      <w:r>
        <w:rPr>
          <w:b/>
          <w:color w:val="111111"/>
          <w:sz w:val="20"/>
        </w:rPr>
        <w:t xml:space="preserve">Length  </w:t>
      </w:r>
      <w:r>
        <w:rPr>
          <w:color w:val="444444"/>
          <w:sz w:val="21"/>
        </w:rPr>
        <w:t>1,900–2,200 words, hard ceiling 2,400, hard minimum 1,600. Over the ceiling, whole items are dropped from the tail of the weaker sections — nothing is rewritten, so what survives is what the model wrote against its sources.</w:t>
      </w:r>
    </w:p>
    <w:p>
      <w:r>
        <w:br w:type="page"/>
      </w:r>
    </w:p>
    <w:p>
      <w:pPr>
        <w:spacing w:before="320" w:after="80"/>
        <w:pBdr>
          <w:bottom w:val="single" w:sz="6" w:space="1" w:color="111111"/>
        </w:pBdr>
      </w:pPr>
      <w:r>
        <w:rPr>
          <w:b/>
          <w:i w:val="0"/>
          <w:color w:val="111111"/>
          <w:sz w:val="34"/>
        </w:rPr>
        <w:t>8.  Cost and Reliability</w:t>
      </w:r>
    </w:p>
    <w:p>
      <w:pPr>
        <w:spacing w:before="0" w:after="80"/>
      </w:pPr>
      <w:r>
        <w:rPr>
          <w:b/>
          <w:i w:val="0"/>
          <w:color w:val="111111"/>
          <w:sz w:val="24"/>
        </w:rPr>
        <w:t>Cost</w:t>
      </w:r>
    </w:p>
    <w:p>
      <w:pPr>
        <w:spacing w:before="0" w:after="120"/>
      </w:pPr>
      <w:r>
        <w:rPr>
          <w:b w:val="0"/>
          <w:i w:val="0"/>
          <w:color w:val="444444"/>
          <w:sz w:val="21"/>
        </w:rPr>
        <w:t>Every run records its own token ledger and the dollar cost of the call. The figures below come from that ledger, not from an estimate. Cost recording was added recently, so the sample is still short and the monthly figure is an extrapolation from it.</w:t>
      </w:r>
    </w:p>
    <w:tbl>
      <w:tblPr>
        <w:tblStyle w:val="TableGrid"/>
        <w:tblW w:type="auto" w:w="0"/>
        <w:jc w:val="left"/>
        <w:tblLook w:firstColumn="1" w:firstRow="1" w:lastColumn="0" w:lastRow="0" w:noHBand="0" w:noVBand="1" w:val="04A0"/>
      </w:tblPr>
      <w:tblGrid>
        <w:gridCol w:w="4703"/>
        <w:gridCol w:w="4703"/>
      </w:tblGrid>
      <w:tr>
        <w:tc>
          <w:tcPr>
            <w:tcW w:type="dxa" w:w="3456"/>
            <w:shd w:val="clear" w:color="auto" w:fill="111111"/>
          </w:tcPr>
          <w:p>
            <w:pPr>
              <w:spacing w:before="40" w:after="40"/>
            </w:pPr>
            <w:r>
              <w:rPr>
                <w:b/>
                <w:color w:val="FFFFFF"/>
                <w:sz w:val="18"/>
              </w:rPr>
              <w:t>Item</w:t>
            </w:r>
          </w:p>
        </w:tc>
        <w:tc>
          <w:tcPr>
            <w:tcW w:type="dxa" w:w="5472"/>
            <w:shd w:val="clear" w:color="auto" w:fill="111111"/>
          </w:tcPr>
          <w:p>
            <w:pPr>
              <w:spacing w:before="40" w:after="40"/>
            </w:pPr>
            <w:r>
              <w:rPr>
                <w:b/>
                <w:color w:val="FFFFFF"/>
                <w:sz w:val="18"/>
              </w:rPr>
              <w:t>Figure</w:t>
            </w:r>
          </w:p>
        </w:tc>
      </w:tr>
      <w:tr>
        <w:tc>
          <w:tcPr>
            <w:tcW w:type="dxa" w:w="3456"/>
          </w:tcPr>
          <w:p>
            <w:pPr>
              <w:spacing w:before="40" w:after="40"/>
            </w:pPr>
            <w:r>
              <w:rPr>
                <w:b w:val="0"/>
                <w:sz w:val="19"/>
              </w:rPr>
              <w:t>Cost per issue</w:t>
            </w:r>
          </w:p>
        </w:tc>
        <w:tc>
          <w:tcPr>
            <w:tcW w:type="dxa" w:w="5472"/>
          </w:tcPr>
          <w:p>
            <w:pPr>
              <w:spacing w:before="40" w:after="40"/>
            </w:pPr>
            <w:r>
              <w:rPr>
                <w:b w:val="0"/>
                <w:sz w:val="19"/>
              </w:rPr>
              <w:t>$0.40 (measured)</w:t>
            </w:r>
          </w:p>
        </w:tc>
      </w:tr>
      <w:tr>
        <w:tc>
          <w:tcPr>
            <w:tcW w:type="dxa" w:w="3456"/>
            <w:shd w:val="clear" w:color="auto" w:fill="F2F2F2"/>
          </w:tcPr>
          <w:p>
            <w:pPr>
              <w:spacing w:before="40" w:after="40"/>
            </w:pPr>
            <w:r>
              <w:rPr>
                <w:b w:val="0"/>
                <w:sz w:val="19"/>
              </w:rPr>
              <w:t>Implied monthly cost</w:t>
            </w:r>
          </w:p>
        </w:tc>
        <w:tc>
          <w:tcPr>
            <w:tcW w:type="dxa" w:w="5472"/>
            <w:shd w:val="clear" w:color="auto" w:fill="F2F2F2"/>
          </w:tcPr>
          <w:p>
            <w:pPr>
              <w:spacing w:before="40" w:after="40"/>
            </w:pPr>
            <w:r>
              <w:rPr>
                <w:b w:val="0"/>
                <w:sz w:val="19"/>
              </w:rPr>
              <w:t>About $9 at 22 issues</w:t>
            </w:r>
          </w:p>
        </w:tc>
      </w:tr>
      <w:tr>
        <w:tc>
          <w:tcPr>
            <w:tcW w:type="dxa" w:w="3456"/>
          </w:tcPr>
          <w:p>
            <w:pPr>
              <w:spacing w:before="40" w:after="40"/>
            </w:pPr>
            <w:r>
              <w:rPr>
                <w:b w:val="0"/>
                <w:sz w:val="19"/>
              </w:rPr>
              <w:t>Primary model</w:t>
            </w:r>
          </w:p>
        </w:tc>
        <w:tc>
          <w:tcPr>
            <w:tcW w:type="dxa" w:w="5472"/>
          </w:tcPr>
          <w:p>
            <w:pPr>
              <w:spacing w:before="40" w:after="40"/>
            </w:pPr>
            <w:r>
              <w:rPr>
                <w:b w:val="0"/>
                <w:sz w:val="19"/>
              </w:rPr>
              <w:t>Claude Sonnet 4.6</w:t>
            </w:r>
          </w:p>
        </w:tc>
      </w:tr>
      <w:tr>
        <w:tc>
          <w:tcPr>
            <w:tcW w:type="dxa" w:w="3456"/>
            <w:shd w:val="clear" w:color="auto" w:fill="F2F2F2"/>
          </w:tcPr>
          <w:p>
            <w:pPr>
              <w:spacing w:before="40" w:after="40"/>
            </w:pPr>
            <w:r>
              <w:rPr>
                <w:b w:val="0"/>
                <w:sz w:val="19"/>
              </w:rPr>
              <w:t>Retry model</w:t>
            </w:r>
          </w:p>
        </w:tc>
        <w:tc>
          <w:tcPr>
            <w:tcW w:type="dxa" w:w="5472"/>
            <w:shd w:val="clear" w:color="auto" w:fill="F2F2F2"/>
          </w:tcPr>
          <w:p>
            <w:pPr>
              <w:spacing w:before="40" w:after="40"/>
            </w:pPr>
            <w:r>
              <w:rPr>
                <w:b w:val="0"/>
                <w:sz w:val="19"/>
              </w:rPr>
              <w:t>Claude Opus 4.8</w:t>
            </w:r>
          </w:p>
        </w:tc>
      </w:tr>
      <w:tr>
        <w:tc>
          <w:tcPr>
            <w:tcW w:type="dxa" w:w="3456"/>
          </w:tcPr>
          <w:p>
            <w:pPr>
              <w:spacing w:before="40" w:after="40"/>
            </w:pPr>
            <w:r>
              <w:rPr>
                <w:b w:val="0"/>
                <w:sz w:val="19"/>
              </w:rPr>
              <w:t>Everything else</w:t>
            </w:r>
          </w:p>
        </w:tc>
        <w:tc>
          <w:tcPr>
            <w:tcW w:type="dxa" w:w="5472"/>
          </w:tcPr>
          <w:p>
            <w:pPr>
              <w:spacing w:before="40" w:after="40"/>
            </w:pPr>
            <w:r>
              <w:rPr>
                <w:b w:val="0"/>
                <w:sz w:val="19"/>
              </w:rPr>
              <w:t>Free — GitHub Actions, Gmail SMTP, GitHub Pages</w:t>
            </w:r>
          </w:p>
        </w:tc>
      </w:tr>
    </w:tbl>
    <w:p>
      <w:pPr>
        <w:spacing w:after="40"/>
      </w:pPr>
    </w:p>
    <w:p>
      <w:pPr>
        <w:spacing w:before="160" w:after="80"/>
      </w:pPr>
      <w:r>
        <w:rPr>
          <w:b/>
          <w:i w:val="0"/>
          <w:color w:val="111111"/>
          <w:sz w:val="24"/>
        </w:rPr>
        <w:t>Reliability</w:t>
      </w:r>
    </w:p>
    <w:tbl>
      <w:tblPr>
        <w:tblStyle w:val="TableGrid"/>
        <w:tblW w:type="auto" w:w="0"/>
        <w:jc w:val="left"/>
        <w:tblLook w:firstColumn="1" w:firstRow="1" w:lastColumn="0" w:lastRow="0" w:noHBand="0" w:noVBand="1" w:val="04A0"/>
      </w:tblPr>
      <w:tblGrid>
        <w:gridCol w:w="3135"/>
        <w:gridCol w:w="3135"/>
        <w:gridCol w:w="3135"/>
      </w:tblGrid>
      <w:tr>
        <w:tc>
          <w:tcPr>
            <w:tcW w:type="dxa" w:w="2448"/>
            <w:shd w:val="clear" w:color="auto" w:fill="111111"/>
          </w:tcPr>
          <w:p>
            <w:pPr>
              <w:spacing w:before="40" w:after="40"/>
            </w:pPr>
            <w:r>
              <w:rPr>
                <w:b/>
                <w:color w:val="FFFFFF"/>
                <w:sz w:val="18"/>
              </w:rPr>
              <w:t>Guard</w:t>
            </w:r>
          </w:p>
        </w:tc>
        <w:tc>
          <w:tcPr>
            <w:tcW w:type="dxa" w:w="4752"/>
            <w:shd w:val="clear" w:color="auto" w:fill="111111"/>
          </w:tcPr>
          <w:p>
            <w:pPr>
              <w:spacing w:before="40" w:after="40"/>
            </w:pPr>
            <w:r>
              <w:rPr>
                <w:b/>
                <w:color w:val="FFFFFF"/>
                <w:sz w:val="18"/>
              </w:rPr>
              <w:t>What it does</w:t>
            </w:r>
          </w:p>
        </w:tc>
        <w:tc>
          <w:tcPr>
            <w:tcW w:type="dxa" w:w="1872"/>
            <w:shd w:val="clear" w:color="auto" w:fill="111111"/>
          </w:tcPr>
          <w:p>
            <w:pPr>
              <w:spacing w:before="40" w:after="40"/>
            </w:pPr>
            <w:r>
              <w:rPr>
                <w:b/>
                <w:color w:val="FFFFFF"/>
                <w:sz w:val="18"/>
              </w:rPr>
              <w:t>Blocks a send?</w:t>
            </w:r>
          </w:p>
        </w:tc>
      </w:tr>
      <w:tr>
        <w:tc>
          <w:tcPr>
            <w:tcW w:type="dxa" w:w="2448"/>
          </w:tcPr>
          <w:p>
            <w:pPr>
              <w:spacing w:before="40" w:after="40"/>
            </w:pPr>
            <w:r>
              <w:rPr>
                <w:b w:val="0"/>
                <w:sz w:val="19"/>
              </w:rPr>
              <w:t>Offline test suite</w:t>
            </w:r>
          </w:p>
        </w:tc>
        <w:tc>
          <w:tcPr>
            <w:tcW w:type="dxa" w:w="4752"/>
          </w:tcPr>
          <w:p>
            <w:pPr>
              <w:spacing w:before="40" w:after="40"/>
            </w:pPr>
            <w:r>
              <w:rPr>
                <w:b w:val="0"/>
                <w:sz w:val="19"/>
              </w:rPr>
              <w:t>86 checks on render, sourcing, length, email format</w:t>
            </w:r>
          </w:p>
        </w:tc>
        <w:tc>
          <w:tcPr>
            <w:tcW w:type="dxa" w:w="1872"/>
          </w:tcPr>
          <w:p>
            <w:pPr>
              <w:spacing w:before="40" w:after="40"/>
            </w:pPr>
            <w:r>
              <w:rPr>
                <w:b/>
                <w:sz w:val="19"/>
              </w:rPr>
              <w:t>Yes</w:t>
            </w:r>
          </w:p>
        </w:tc>
      </w:tr>
      <w:tr>
        <w:tc>
          <w:tcPr>
            <w:tcW w:type="dxa" w:w="2448"/>
            <w:shd w:val="clear" w:color="auto" w:fill="F2F2F2"/>
          </w:tcPr>
          <w:p>
            <w:pPr>
              <w:spacing w:before="40" w:after="40"/>
            </w:pPr>
            <w:r>
              <w:rPr>
                <w:b w:val="0"/>
                <w:sz w:val="19"/>
              </w:rPr>
              <w:t>Time-independence check</w:t>
            </w:r>
          </w:p>
        </w:tc>
        <w:tc>
          <w:tcPr>
            <w:tcW w:type="dxa" w:w="4752"/>
            <w:shd w:val="clear" w:color="auto" w:fill="F2F2F2"/>
          </w:tcPr>
          <w:p>
            <w:pPr>
              <w:spacing w:before="40" w:after="40"/>
            </w:pPr>
            <w:r>
              <w:rPr>
                <w:b w:val="0"/>
                <w:sz w:val="19"/>
              </w:rPr>
              <w:t>Proves the suite does not pass only on today's date</w:t>
            </w:r>
          </w:p>
        </w:tc>
        <w:tc>
          <w:tcPr>
            <w:tcW w:type="dxa" w:w="1872"/>
            <w:shd w:val="clear" w:color="auto" w:fill="F2F2F2"/>
          </w:tcPr>
          <w:p>
            <w:pPr>
              <w:spacing w:before="40" w:after="40"/>
            </w:pPr>
            <w:r>
              <w:rPr>
                <w:b/>
                <w:sz w:val="19"/>
              </w:rPr>
              <w:t>Yes</w:t>
            </w:r>
          </w:p>
        </w:tc>
      </w:tr>
      <w:tr>
        <w:tc>
          <w:tcPr>
            <w:tcW w:type="dxa" w:w="2448"/>
          </w:tcPr>
          <w:p>
            <w:pPr>
              <w:spacing w:before="40" w:after="40"/>
            </w:pPr>
            <w:r>
              <w:rPr>
                <w:b w:val="0"/>
                <w:sz w:val="19"/>
              </w:rPr>
              <w:t>Skip guard</w:t>
            </w:r>
          </w:p>
        </w:tc>
        <w:tc>
          <w:tcPr>
            <w:tcW w:type="dxa" w:w="4752"/>
          </w:tcPr>
          <w:p>
            <w:pPr>
              <w:spacing w:before="40" w:after="40"/>
            </w:pPr>
            <w:r>
              <w:rPr>
                <w:b w:val="0"/>
                <w:sz w:val="19"/>
              </w:rPr>
              <w:t>Prevents a second send when a fallback run fires</w:t>
            </w:r>
          </w:p>
        </w:tc>
        <w:tc>
          <w:tcPr>
            <w:tcW w:type="dxa" w:w="1872"/>
          </w:tcPr>
          <w:p>
            <w:pPr>
              <w:spacing w:before="40" w:after="40"/>
            </w:pPr>
            <w:r>
              <w:rPr>
                <w:b/>
                <w:sz w:val="19"/>
              </w:rPr>
              <w:t>Yes</w:t>
            </w:r>
          </w:p>
        </w:tc>
      </w:tr>
      <w:tr>
        <w:tc>
          <w:tcPr>
            <w:tcW w:type="dxa" w:w="2448"/>
            <w:shd w:val="clear" w:color="auto" w:fill="F2F2F2"/>
          </w:tcPr>
          <w:p>
            <w:pPr>
              <w:spacing w:before="40" w:after="40"/>
            </w:pPr>
            <w:r>
              <w:rPr>
                <w:b w:val="0"/>
                <w:sz w:val="19"/>
              </w:rPr>
              <w:t>Earliest-hour floor</w:t>
            </w:r>
          </w:p>
        </w:tc>
        <w:tc>
          <w:tcPr>
            <w:tcW w:type="dxa" w:w="4752"/>
            <w:shd w:val="clear" w:color="auto" w:fill="F2F2F2"/>
          </w:tcPr>
          <w:p>
            <w:pPr>
              <w:spacing w:before="40" w:after="40"/>
            </w:pPr>
            <w:r>
              <w:rPr>
                <w:b w:val="0"/>
                <w:sz w:val="19"/>
              </w:rPr>
              <w:t>Refuses to send before the delivery hour</w:t>
            </w:r>
          </w:p>
        </w:tc>
        <w:tc>
          <w:tcPr>
            <w:tcW w:type="dxa" w:w="1872"/>
            <w:shd w:val="clear" w:color="auto" w:fill="F2F2F2"/>
          </w:tcPr>
          <w:p>
            <w:pPr>
              <w:spacing w:before="40" w:after="40"/>
            </w:pPr>
            <w:r>
              <w:rPr>
                <w:b/>
                <w:sz w:val="19"/>
              </w:rPr>
              <w:t>Yes</w:t>
            </w:r>
          </w:p>
        </w:tc>
      </w:tr>
      <w:tr>
        <w:tc>
          <w:tcPr>
            <w:tcW w:type="dxa" w:w="2448"/>
          </w:tcPr>
          <w:p>
            <w:pPr>
              <w:spacing w:before="40" w:after="40"/>
            </w:pPr>
            <w:r>
              <w:rPr>
                <w:b w:val="0"/>
                <w:sz w:val="19"/>
              </w:rPr>
              <w:t>Visual checks</w:t>
            </w:r>
          </w:p>
        </w:tc>
        <w:tc>
          <w:tcPr>
            <w:tcW w:type="dxa" w:w="4752"/>
          </w:tcPr>
          <w:p>
            <w:pPr>
              <w:spacing w:before="40" w:after="40"/>
            </w:pPr>
            <w:r>
              <w:rPr>
                <w:b w:val="0"/>
                <w:sz w:val="19"/>
              </w:rPr>
              <w:t>Contrast, typeface count, mobile overflow in a real browser</w:t>
            </w:r>
          </w:p>
        </w:tc>
        <w:tc>
          <w:tcPr>
            <w:tcW w:type="dxa" w:w="1872"/>
          </w:tcPr>
          <w:p>
            <w:pPr>
              <w:spacing w:before="40" w:after="40"/>
            </w:pPr>
            <w:r>
              <w:rPr>
                <w:b w:val="0"/>
                <w:sz w:val="19"/>
              </w:rPr>
              <w:t>No — reports</w:t>
            </w:r>
          </w:p>
        </w:tc>
      </w:tr>
      <w:tr>
        <w:tc>
          <w:tcPr>
            <w:tcW w:type="dxa" w:w="2448"/>
            <w:shd w:val="clear" w:color="auto" w:fill="F2F2F2"/>
          </w:tcPr>
          <w:p>
            <w:pPr>
              <w:spacing w:before="40" w:after="40"/>
            </w:pPr>
            <w:r>
              <w:rPr>
                <w:b w:val="0"/>
                <w:sz w:val="19"/>
              </w:rPr>
              <w:t>Chromium / PDF</w:t>
            </w:r>
          </w:p>
        </w:tc>
        <w:tc>
          <w:tcPr>
            <w:tcW w:type="dxa" w:w="4752"/>
            <w:shd w:val="clear" w:color="auto" w:fill="F2F2F2"/>
          </w:tcPr>
          <w:p>
            <w:pPr>
              <w:spacing w:before="40" w:after="40"/>
            </w:pPr>
            <w:r>
              <w:rPr>
                <w:b w:val="0"/>
                <w:sz w:val="19"/>
              </w:rPr>
              <w:t>Print export for the archive</w:t>
            </w:r>
          </w:p>
        </w:tc>
        <w:tc>
          <w:tcPr>
            <w:tcW w:type="dxa" w:w="1872"/>
            <w:shd w:val="clear" w:color="auto" w:fill="F2F2F2"/>
          </w:tcPr>
          <w:p>
            <w:pPr>
              <w:spacing w:before="40" w:after="40"/>
            </w:pPr>
            <w:r>
              <w:rPr>
                <w:b w:val="0"/>
                <w:sz w:val="19"/>
              </w:rPr>
              <w:t>No — reports</w:t>
            </w:r>
          </w:p>
        </w:tc>
      </w:tr>
      <w:tr>
        <w:tc>
          <w:tcPr>
            <w:tcW w:type="dxa" w:w="2448"/>
          </w:tcPr>
          <w:p>
            <w:pPr>
              <w:spacing w:before="40" w:after="40"/>
            </w:pPr>
            <w:r>
              <w:rPr>
                <w:b w:val="0"/>
                <w:sz w:val="19"/>
              </w:rPr>
              <w:t>Feed health</w:t>
            </w:r>
          </w:p>
        </w:tc>
        <w:tc>
          <w:tcPr>
            <w:tcW w:type="dxa" w:w="4752"/>
          </w:tcPr>
          <w:p>
            <w:pPr>
              <w:spacing w:before="40" w:after="40"/>
            </w:pPr>
            <w:r>
              <w:rPr>
                <w:b w:val="0"/>
                <w:sz w:val="19"/>
              </w:rPr>
              <w:t>Flags any feed silent three or more consecutive runs</w:t>
            </w:r>
          </w:p>
        </w:tc>
        <w:tc>
          <w:tcPr>
            <w:tcW w:type="dxa" w:w="1872"/>
          </w:tcPr>
          <w:p>
            <w:pPr>
              <w:spacing w:before="40" w:after="40"/>
            </w:pPr>
            <w:r>
              <w:rPr>
                <w:b w:val="0"/>
                <w:sz w:val="19"/>
              </w:rPr>
              <w:t>No — reports</w:t>
            </w:r>
          </w:p>
        </w:tc>
      </w:tr>
    </w:tbl>
    <w:p>
      <w:pPr>
        <w:spacing w:after="40"/>
      </w:pPr>
    </w:p>
    <w:p>
      <w:pPr>
        <w:spacing w:before="120" w:after="200"/>
        <w:ind w:left="288"/>
        <w:pBdr>
          <w:left w:val="single" w:sz="12" w:space="6" w:color="111111"/>
        </w:pBdr>
      </w:pPr>
      <w:r>
        <w:rPr>
          <w:b/>
          <w:color w:val="111111"/>
          <w:sz w:val="20"/>
        </w:rPr>
        <w:t xml:space="preserve">Why the split:  </w:t>
      </w:r>
      <w:r>
        <w:rPr>
          <w:color w:val="444444"/>
          <w:sz w:val="21"/>
        </w:rPr>
        <w:t>A check that can cancel the brief has to be a check about the code. A visual measurement that shifts with the day's content should report, not cancel — an earlier arrangement let a contrast reading on one caption stop an entire issue from going out.</w:t>
      </w:r>
    </w:p>
    <w:p>
      <w:r>
        <w:br w:type="page"/>
      </w:r>
    </w:p>
    <w:p>
      <w:pPr>
        <w:spacing w:before="320" w:after="80"/>
        <w:pBdr>
          <w:bottom w:val="single" w:sz="6" w:space="1" w:color="111111"/>
        </w:pBdr>
      </w:pPr>
      <w:r>
        <w:rPr>
          <w:b/>
          <w:i w:val="0"/>
          <w:color w:val="111111"/>
          <w:sz w:val="34"/>
        </w:rPr>
        <w:t>9.  Open Decisions</w:t>
      </w:r>
    </w:p>
    <w:p>
      <w:pPr>
        <w:spacing w:before="0" w:after="160"/>
      </w:pPr>
      <w:r>
        <w:rPr>
          <w:b w:val="0"/>
          <w:i w:val="0"/>
          <w:color w:val="444444"/>
          <w:sz w:val="22"/>
        </w:rPr>
        <w:t>The places the brief is currently weakest, each stated with the decision that would settle it. This is the section worth marking up.</w:t>
      </w:r>
    </w:p>
    <w:p>
      <w:pPr>
        <w:spacing w:before="120" w:after="60"/>
      </w:pPr>
      <w:r>
        <w:rPr>
          <w:b/>
          <w:i w:val="0"/>
          <w:color w:val="111111"/>
          <w:sz w:val="23"/>
        </w:rPr>
        <w:t>1.  Most feeds have no publisher RSS behind them</w:t>
      </w:r>
    </w:p>
    <w:p>
      <w:pPr>
        <w:spacing w:before="0" w:after="80"/>
      </w:pPr>
      <w:r>
        <w:rPr>
          <w:b w:val="0"/>
          <w:i w:val="0"/>
          <w:color w:val="444444"/>
          <w:sz w:val="21"/>
        </w:rPr>
        <w:t>Of 116 feeds, 86 are Google News searches with no native path. Tier 3 is 18 of 18; tier 2 is 29 of 30, which means CSIS, Brookings, Carnegie, Stimson, Hudson, NBR and Pacific Forum reach the brief only if Google indexes them that morning. Tier 1 is materially better at 26 of 47 native, and that is where the government feeds, the Japanese dailies and the major wires sit. The risk is not one feed failing; it is one upstream change taking most of two tiers at once, with no error to notice.</w:t>
      </w:r>
    </w:p>
    <w:p>
      <w:pPr>
        <w:spacing w:before="120" w:after="200"/>
        <w:ind w:left="288"/>
        <w:pBdr>
          <w:left w:val="single" w:sz="12" w:space="6" w:color="111111"/>
        </w:pBdr>
      </w:pPr>
      <w:r>
        <w:rPr>
          <w:b/>
          <w:color w:val="111111"/>
          <w:sz w:val="20"/>
        </w:rPr>
        <w:t xml:space="preserve">Decision:  </w:t>
      </w:r>
      <w:r>
        <w:rPr>
          <w:color w:val="444444"/>
          <w:sz w:val="21"/>
        </w:rPr>
        <w:t>Is it worth a pass to add native RSS behind the tier 2 institutions the Chair actually reads? Roughly 25 feeds, and most of them publish RSS.</w:t>
      </w:r>
    </w:p>
    <w:p>
      <w:pPr>
        <w:spacing w:before="160" w:after="60"/>
      </w:pPr>
      <w:r>
        <w:rPr>
          <w:b/>
          <w:i w:val="0"/>
          <w:color w:val="111111"/>
          <w:sz w:val="23"/>
        </w:rPr>
        <w:t>2.  Named sources that have gone quiet</w:t>
      </w:r>
    </w:p>
    <w:p>
      <w:pPr>
        <w:spacing w:before="0" w:after="80"/>
      </w:pPr>
      <w:r>
        <w:rPr>
          <w:b w:val="0"/>
          <w:i w:val="0"/>
          <w:color w:val="444444"/>
          <w:sz w:val="21"/>
        </w:rPr>
        <w:t>Feed health tracks how long each source has gone without delivering. Mainichi and Jiji Press have both been silent for roughly two months. Neither absence was visible in the brief: a source that stops delivering does not announce itself, it simply stops appearing. Both have native URLs configured, so this is a moved or broken endpoint rather than a design flaw — but two of the Japanese dailies the brief claims to read have not been in it since July.</w:t>
      </w:r>
    </w:p>
    <w:p>
      <w:pPr>
        <w:spacing w:before="120" w:after="200"/>
        <w:ind w:left="288"/>
        <w:pBdr>
          <w:left w:val="single" w:sz="12" w:space="6" w:color="111111"/>
        </w:pBdr>
      </w:pPr>
      <w:r>
        <w:rPr>
          <w:b/>
          <w:color w:val="111111"/>
          <w:sz w:val="20"/>
        </w:rPr>
        <w:t xml:space="preserve">Decision:  </w:t>
      </w:r>
      <w:r>
        <w:rPr>
          <w:color w:val="444444"/>
          <w:sz w:val="21"/>
        </w:rPr>
        <w:t>Which Japanese-language dailies are non-negotiable? Those get their endpoints verified and a health alert that blocks the send rather than reporting quietly.</w:t>
      </w:r>
    </w:p>
    <w:p>
      <w:pPr>
        <w:spacing w:before="160" w:after="60"/>
      </w:pPr>
      <w:r>
        <w:rPr>
          <w:b/>
          <w:i w:val="0"/>
          <w:color w:val="111111"/>
          <w:sz w:val="23"/>
        </w:rPr>
        <w:t>3.  Polling baselines drift between manual updates</w:t>
      </w:r>
    </w:p>
    <w:p>
      <w:pPr>
        <w:spacing w:before="0" w:after="80"/>
      </w:pPr>
      <w:r>
        <w:rPr>
          <w:b w:val="0"/>
          <w:i w:val="0"/>
          <w:color w:val="444444"/>
          <w:sz w:val="21"/>
        </w:rPr>
        <w:t>Cabinet approval is fetched live before each issue, which is the reliable path. The fallback table behind it is hand-maintained and currently carries July figures, so a failed fetch falls back to a two-month-old baseline rather than to nothing.</w:t>
      </w:r>
    </w:p>
    <w:p>
      <w:pPr>
        <w:spacing w:before="120" w:after="200"/>
        <w:ind w:left="288"/>
        <w:pBdr>
          <w:left w:val="single" w:sz="12" w:space="6" w:color="111111"/>
        </w:pBdr>
      </w:pPr>
      <w:r>
        <w:rPr>
          <w:b/>
          <w:color w:val="111111"/>
          <w:sz w:val="20"/>
        </w:rPr>
        <w:t xml:space="preserve">Decision:  </w:t>
      </w:r>
      <w:r>
        <w:rPr>
          <w:color w:val="444444"/>
          <w:sz w:val="21"/>
        </w:rPr>
        <w:t>Should a failed fetch suppress the polling section entirely rather than fall back to a stale table?</w:t>
      </w:r>
    </w:p>
    <w:p>
      <w:pPr>
        <w:spacing w:before="160" w:after="60"/>
      </w:pPr>
      <w:r>
        <w:rPr>
          <w:b/>
          <w:i w:val="0"/>
          <w:color w:val="111111"/>
          <w:sz w:val="23"/>
        </w:rPr>
        <w:t>4.  A built tension index that nothing uses</w:t>
      </w:r>
    </w:p>
    <w:p>
      <w:pPr>
        <w:spacing w:before="0" w:after="80"/>
      </w:pPr>
      <w:r>
        <w:rPr>
          <w:b w:val="0"/>
          <w:i w:val="0"/>
          <w:color w:val="444444"/>
          <w:sz w:val="21"/>
        </w:rPr>
        <w:t>tension_scorer.py computes a regional tension score on a 0–10 scale. It is complete and tested, and no part of the pipeline imports it, so it has never appeared in an issue.</w:t>
      </w:r>
    </w:p>
    <w:p>
      <w:pPr>
        <w:spacing w:before="120" w:after="200"/>
        <w:ind w:left="288"/>
        <w:pBdr>
          <w:left w:val="single" w:sz="12" w:space="6" w:color="111111"/>
        </w:pBdr>
      </w:pPr>
      <w:r>
        <w:rPr>
          <w:b/>
          <w:color w:val="111111"/>
          <w:sz w:val="20"/>
        </w:rPr>
        <w:t xml:space="preserve">Decision:  </w:t>
      </w:r>
      <w:r>
        <w:rPr>
          <w:color w:val="444444"/>
          <w:sz w:val="21"/>
        </w:rPr>
        <w:t>Wire it in as a standing indicator, or delete it. Carrying it unused is the worst of the three.</w:t>
      </w:r>
    </w:p>
    <w:p>
      <w:pPr>
        <w:spacing w:before="160" w:after="60"/>
      </w:pPr>
      <w:r>
        <w:rPr>
          <w:b/>
          <w:i w:val="0"/>
          <w:color w:val="111111"/>
          <w:sz w:val="23"/>
        </w:rPr>
        <w:t>5.  Section scope after the alliance section was removed</w:t>
      </w:r>
    </w:p>
    <w:p>
      <w:pPr>
        <w:spacing w:before="0" w:after="80"/>
      </w:pPr>
      <w:r>
        <w:rPr>
          <w:b w:val="0"/>
          <w:i w:val="0"/>
          <w:color w:val="444444"/>
          <w:sz w:val="21"/>
        </w:rPr>
        <w:t>The US–Japan Alliance &amp; Trade section was removed at the Chair's request. Its subject matter now lands in Business &amp; Economy and in Indo-Pacific, and the story count was raised to fill the space it left.</w:t>
      </w:r>
    </w:p>
    <w:p>
      <w:pPr>
        <w:spacing w:before="120" w:after="200"/>
        <w:ind w:left="288"/>
        <w:pBdr>
          <w:left w:val="single" w:sz="12" w:space="6" w:color="111111"/>
        </w:pBdr>
      </w:pPr>
      <w:r>
        <w:rPr>
          <w:b/>
          <w:color w:val="111111"/>
          <w:sz w:val="20"/>
        </w:rPr>
        <w:t xml:space="preserve">Decision:  </w:t>
      </w:r>
      <w:r>
        <w:rPr>
          <w:color w:val="444444"/>
          <w:sz w:val="21"/>
        </w:rPr>
        <w:t>Is alliance and trade coverage landing where the Chair expects it, or does it need a named home again?</w:t>
      </w:r>
    </w:p>
    <w:p>
      <w:r>
        <w:br w:type="page"/>
      </w:r>
    </w:p>
    <w:p>
      <w:pPr>
        <w:spacing w:before="1000"/>
        <w:jc w:val="center"/>
      </w:pPr>
      <w:r>
        <w:rPr>
          <w:b/>
          <w:color w:val="111111"/>
          <w:sz w:val="24"/>
        </w:rPr>
        <w:t>CSIS Japan Chair  ·  Japan Daily Brief</w:t>
      </w:r>
    </w:p>
    <w:p>
      <w:pPr>
        <w:spacing w:after="400"/>
        <w:jc w:val="center"/>
      </w:pPr>
      <w:r>
        <w:rPr>
          <w:color w:val="444444"/>
          <w:sz w:val="22"/>
        </w:rPr>
        <w:t>Pipeline  ·  Sourcing  ·  Sections  ·  Editorial Rules  ·  Open Decisions</w:t>
      </w:r>
    </w:p>
    <w:p>
      <w:pPr>
        <w:jc w:val="center"/>
      </w:pPr>
      <w:r>
        <w:rPr>
          <w:i/>
          <w:color w:val="808080"/>
          <w:sz w:val="19"/>
        </w:rPr>
        <w:t>Feed counts and section limits in this document are generated from the running code, not transcribed.</w:t>
      </w:r>
    </w:p>
    <w:p>
      <w:pPr>
        <w:jc w:val="center"/>
      </w:pPr>
      <w:r>
        <w:rPr>
          <w:color w:val="808080"/>
          <w:sz w:val="20"/>
        </w:rPr>
        <w:t>Prepared by Andy Lim  ·  September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