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666666"/>
          <w:sz w:val="20"/>
        </w:rPr>
        <w:t>CSIS DAILY BRIEFS</w:t>
      </w:r>
    </w:p>
    <w:p>
      <w:pPr>
        <w:jc w:val="center"/>
      </w:pPr>
      <w:r>
        <w:rPr>
          <w:b/>
          <w:color w:val="111111"/>
          <w:sz w:val="60"/>
        </w:rPr>
        <w:t>What Changed</w:t>
      </w:r>
    </w:p>
    <w:p>
      <w:pPr>
        <w:spacing w:after="80"/>
        <w:jc w:val="center"/>
      </w:pPr>
      <w:r>
        <w:rPr>
          <w:color w:val="444444"/>
          <w:sz w:val="30"/>
        </w:rPr>
        <w:t>Korea  ·  Japan  ·  China  ·  Australia</w:t>
      </w:r>
    </w:p>
    <w:p>
      <w:pPr>
        <w:spacing w:after="520"/>
        <w:jc w:val="center"/>
      </w:pPr>
      <w:r>
        <w:rPr>
          <w:i/>
          <w:color w:val="808080"/>
          <w:sz w:val="22"/>
        </w:rPr>
        <w:t>Two weeks of work on four daily briefs, in six parts</w:t>
      </w:r>
    </w:p>
    <w:p>
      <w:pPr>
        <w:jc w:val="center"/>
      </w:pPr>
      <w:r>
        <w:rPr>
          <w:color w:val="808080"/>
          <w:sz w:val="20"/>
        </w:rPr>
        <w:t>Prepared by Andy Lim  ·  September 2026</w:t>
      </w:r>
    </w:p>
    <w:p>
      <w:r>
        <w:br w:type="page"/>
      </w:r>
    </w:p>
    <w:p>
      <w:pPr>
        <w:spacing w:before="320" w:after="80"/>
        <w:pBdr>
          <w:bottom w:val="single" w:sz="6" w:space="1" w:color="111111"/>
        </w:pBdr>
      </w:pPr>
      <w:r>
        <w:rPr>
          <w:b/>
          <w:i w:val="0"/>
          <w:color w:val="111111"/>
          <w:sz w:val="34"/>
        </w:rPr>
        <w:t>The short version</w:t>
      </w:r>
    </w:p>
    <w:p>
      <w:pPr>
        <w:spacing w:before="0" w:after="200"/>
      </w:pPr>
      <w:r>
        <w:rPr>
          <w:b w:val="0"/>
          <w:i w:val="0"/>
          <w:color w:val="444444"/>
          <w:sz w:val="22"/>
        </w:rPr>
        <w:t>Four briefs — Korea, Japan, China, Australia — went from four separate products that happened to share an author to one publication with four editions. Most of the work fell into six areas. Each is a page.</w:t>
      </w:r>
    </w:p>
    <w:tbl>
      <w:tblPr>
        <w:tblStyle w:val="TableGrid"/>
        <w:tblW w:type="auto" w:w="0"/>
        <w:jc w:val="left"/>
        <w:tblLook w:firstColumn="1" w:firstRow="1" w:lastColumn="0" w:lastRow="0" w:noHBand="0" w:noVBand="1" w:val="04A0"/>
      </w:tblPr>
      <w:tblGrid>
        <w:gridCol w:w="3135"/>
        <w:gridCol w:w="3135"/>
        <w:gridCol w:w="3135"/>
      </w:tblGrid>
      <w:tr>
        <w:tc>
          <w:tcPr>
            <w:tcW w:type="dxa" w:w="1872"/>
            <w:shd w:val="clear" w:color="auto" w:fill="111111"/>
          </w:tcPr>
          <w:p>
            <w:pPr>
              <w:spacing w:before="40" w:after="40"/>
            </w:pPr>
            <w:r>
              <w:rPr>
                <w:b/>
                <w:color w:val="FFFFFF"/>
                <w:sz w:val="18"/>
              </w:rPr>
            </w:r>
          </w:p>
        </w:tc>
        <w:tc>
          <w:tcPr>
            <w:tcW w:type="dxa" w:w="3744"/>
            <w:shd w:val="clear" w:color="auto" w:fill="111111"/>
          </w:tcPr>
          <w:p>
            <w:pPr>
              <w:spacing w:before="40" w:after="40"/>
            </w:pPr>
            <w:r>
              <w:rPr>
                <w:b/>
                <w:color w:val="FFFFFF"/>
                <w:sz w:val="18"/>
              </w:rPr>
              <w:t>What was wrong</w:t>
            </w:r>
          </w:p>
        </w:tc>
        <w:tc>
          <w:tcPr>
            <w:tcW w:type="dxa" w:w="3456"/>
            <w:shd w:val="clear" w:color="auto" w:fill="111111"/>
          </w:tcPr>
          <w:p>
            <w:pPr>
              <w:spacing w:before="40" w:after="40"/>
            </w:pPr>
            <w:r>
              <w:rPr>
                <w:b/>
                <w:color w:val="FFFFFF"/>
                <w:sz w:val="18"/>
              </w:rPr>
              <w:t>Where it stands</w:t>
            </w:r>
          </w:p>
        </w:tc>
      </w:tr>
      <w:tr>
        <w:tc>
          <w:tcPr>
            <w:tcW w:type="dxa" w:w="1872"/>
          </w:tcPr>
          <w:p>
            <w:pPr>
              <w:spacing w:before="40" w:after="40"/>
            </w:pPr>
            <w:r>
              <w:rPr>
                <w:b/>
                <w:sz w:val="19"/>
              </w:rPr>
              <w:t>1. Delivery</w:t>
            </w:r>
          </w:p>
        </w:tc>
        <w:tc>
          <w:tcPr>
            <w:tcW w:type="dxa" w:w="3744"/>
          </w:tcPr>
          <w:p>
            <w:pPr>
              <w:spacing w:before="40" w:after="40"/>
            </w:pPr>
            <w:r>
              <w:rPr>
                <w:b w:val="0"/>
                <w:sz w:val="19"/>
              </w:rPr>
              <w:t>Briefs sent twice, sent at midnight, or did not send at all</w:t>
            </w:r>
          </w:p>
        </w:tc>
        <w:tc>
          <w:tcPr>
            <w:tcW w:type="dxa" w:w="3456"/>
          </w:tcPr>
          <w:p>
            <w:pPr>
              <w:spacing w:before="40" w:after="40"/>
            </w:pPr>
            <w:r>
              <w:rPr>
                <w:b w:val="0"/>
                <w:sz w:val="19"/>
              </w:rPr>
              <w:t>One send a day, at the intended hour</w:t>
            </w:r>
          </w:p>
        </w:tc>
      </w:tr>
      <w:tr>
        <w:tc>
          <w:tcPr>
            <w:tcW w:type="dxa" w:w="1872"/>
            <w:shd w:val="clear" w:color="auto" w:fill="F2F2F2"/>
          </w:tcPr>
          <w:p>
            <w:pPr>
              <w:spacing w:before="40" w:after="40"/>
            </w:pPr>
            <w:r>
              <w:rPr>
                <w:b/>
                <w:sz w:val="19"/>
              </w:rPr>
              <w:t>2. One look</w:t>
            </w:r>
          </w:p>
        </w:tc>
        <w:tc>
          <w:tcPr>
            <w:tcW w:type="dxa" w:w="3744"/>
            <w:shd w:val="clear" w:color="auto" w:fill="F2F2F2"/>
          </w:tcPr>
          <w:p>
            <w:pPr>
              <w:spacing w:before="40" w:after="40"/>
            </w:pPr>
            <w:r>
              <w:rPr>
                <w:b w:val="0"/>
                <w:sz w:val="19"/>
              </w:rPr>
              <w:t>Four briefs that did not look related</w:t>
            </w:r>
          </w:p>
        </w:tc>
        <w:tc>
          <w:tcPr>
            <w:tcW w:type="dxa" w:w="3456"/>
            <w:shd w:val="clear" w:color="auto" w:fill="F2F2F2"/>
          </w:tcPr>
          <w:p>
            <w:pPr>
              <w:spacing w:before="40" w:after="40"/>
            </w:pPr>
            <w:r>
              <w:rPr>
                <w:b w:val="0"/>
                <w:sz w:val="19"/>
              </w:rPr>
              <w:t>One masthead, one subject line, one archive, one set of sections</w:t>
            </w:r>
          </w:p>
        </w:tc>
      </w:tr>
      <w:tr>
        <w:tc>
          <w:tcPr>
            <w:tcW w:type="dxa" w:w="1872"/>
          </w:tcPr>
          <w:p>
            <w:pPr>
              <w:spacing w:before="40" w:after="40"/>
            </w:pPr>
            <w:r>
              <w:rPr>
                <w:b/>
                <w:sz w:val="19"/>
              </w:rPr>
              <w:t>3. Dark mode</w:t>
            </w:r>
          </w:p>
        </w:tc>
        <w:tc>
          <w:tcPr>
            <w:tcW w:type="dxa" w:w="3744"/>
          </w:tcPr>
          <w:p>
            <w:pPr>
              <w:spacing w:before="40" w:after="40"/>
            </w:pPr>
            <w:r>
              <w:rPr>
                <w:b w:val="0"/>
                <w:sz w:val="19"/>
              </w:rPr>
              <w:t>Text the same colour as its background for some readers</w:t>
            </w:r>
          </w:p>
        </w:tc>
        <w:tc>
          <w:tcPr>
            <w:tcW w:type="dxa" w:w="3456"/>
          </w:tcPr>
          <w:p>
            <w:pPr>
              <w:spacing w:before="40" w:after="40"/>
            </w:pPr>
            <w:r>
              <w:rPr>
                <w:b w:val="0"/>
                <w:sz w:val="19"/>
              </w:rPr>
              <w:t>Every colour has a dark counterpart, checked automatically</w:t>
            </w:r>
          </w:p>
        </w:tc>
      </w:tr>
      <w:tr>
        <w:tc>
          <w:tcPr>
            <w:tcW w:type="dxa" w:w="1872"/>
            <w:shd w:val="clear" w:color="auto" w:fill="F2F2F2"/>
          </w:tcPr>
          <w:p>
            <w:pPr>
              <w:spacing w:before="40" w:after="40"/>
            </w:pPr>
            <w:r>
              <w:rPr>
                <w:b/>
                <w:sz w:val="19"/>
              </w:rPr>
              <w:t>4. Accuracy</w:t>
            </w:r>
          </w:p>
        </w:tc>
        <w:tc>
          <w:tcPr>
            <w:tcW w:type="dxa" w:w="3744"/>
            <w:shd w:val="clear" w:color="auto" w:fill="F2F2F2"/>
          </w:tcPr>
          <w:p>
            <w:pPr>
              <w:spacing w:before="40" w:after="40"/>
            </w:pPr>
            <w:r>
              <w:rPr>
                <w:b w:val="0"/>
                <w:sz w:val="19"/>
              </w:rPr>
              <w:t>Claims a reader could not check</w:t>
            </w:r>
          </w:p>
        </w:tc>
        <w:tc>
          <w:tcPr>
            <w:tcW w:type="dxa" w:w="3456"/>
            <w:shd w:val="clear" w:color="auto" w:fill="F2F2F2"/>
          </w:tcPr>
          <w:p>
            <w:pPr>
              <w:spacing w:before="40" w:after="40"/>
            </w:pPr>
            <w:r>
              <w:rPr>
                <w:b w:val="0"/>
                <w:sz w:val="19"/>
              </w:rPr>
              <w:t>An item that cannot be traced to a source is dropped, not printed</w:t>
            </w:r>
          </w:p>
        </w:tc>
      </w:tr>
      <w:tr>
        <w:tc>
          <w:tcPr>
            <w:tcW w:type="dxa" w:w="1872"/>
          </w:tcPr>
          <w:p>
            <w:pPr>
              <w:spacing w:before="40" w:after="40"/>
            </w:pPr>
            <w:r>
              <w:rPr>
                <w:b/>
                <w:sz w:val="19"/>
              </w:rPr>
              <w:t>5. The archive</w:t>
            </w:r>
          </w:p>
        </w:tc>
        <w:tc>
          <w:tcPr>
            <w:tcW w:type="dxa" w:w="3744"/>
          </w:tcPr>
          <w:p>
            <w:pPr>
              <w:spacing w:before="40" w:after="40"/>
            </w:pPr>
            <w:r>
              <w:rPr>
                <w:b w:val="0"/>
                <w:sz w:val="19"/>
              </w:rPr>
              <w:t>Every run erased the list of past issues</w:t>
            </w:r>
          </w:p>
        </w:tc>
        <w:tc>
          <w:tcPr>
            <w:tcW w:type="dxa" w:w="3456"/>
          </w:tcPr>
          <w:p>
            <w:pPr>
              <w:spacing w:before="40" w:after="40"/>
            </w:pPr>
            <w:r>
              <w:rPr>
                <w:b w:val="0"/>
                <w:sz w:val="19"/>
              </w:rPr>
              <w:t>The history is read before it is written, and cannot be overwritten blind</w:t>
            </w:r>
          </w:p>
        </w:tc>
      </w:tr>
      <w:tr>
        <w:tc>
          <w:tcPr>
            <w:tcW w:type="dxa" w:w="1872"/>
            <w:shd w:val="clear" w:color="auto" w:fill="F2F2F2"/>
          </w:tcPr>
          <w:p>
            <w:pPr>
              <w:spacing w:before="40" w:after="40"/>
            </w:pPr>
            <w:r>
              <w:rPr>
                <w:b/>
                <w:sz w:val="19"/>
              </w:rPr>
              <w:t>6. Cost</w:t>
            </w:r>
          </w:p>
        </w:tc>
        <w:tc>
          <w:tcPr>
            <w:tcW w:type="dxa" w:w="3744"/>
            <w:shd w:val="clear" w:color="auto" w:fill="F2F2F2"/>
          </w:tcPr>
          <w:p>
            <w:pPr>
              <w:spacing w:before="40" w:after="40"/>
            </w:pPr>
            <w:r>
              <w:rPr>
                <w:b w:val="0"/>
                <w:sz w:val="19"/>
              </w:rPr>
              <w:t>No record of what any of it cost</w:t>
            </w:r>
          </w:p>
        </w:tc>
        <w:tc>
          <w:tcPr>
            <w:tcW w:type="dxa" w:w="3456"/>
            <w:shd w:val="clear" w:color="auto" w:fill="F2F2F2"/>
          </w:tcPr>
          <w:p>
            <w:pPr>
              <w:spacing w:before="40" w:after="40"/>
            </w:pPr>
            <w:r>
              <w:rPr>
                <w:b w:val="0"/>
                <w:sz w:val="19"/>
              </w:rPr>
              <w:t>Every run records its own cost; a weekly sheet covers all five</w:t>
            </w:r>
          </w:p>
        </w:tc>
      </w:tr>
    </w:tbl>
    <w:p>
      <w:pPr>
        <w:spacing w:after="40"/>
      </w:pPr>
    </w:p>
    <w:p>
      <w:pPr>
        <w:spacing w:before="120" w:after="200"/>
        <w:ind w:left="288"/>
        <w:pBdr>
          <w:left w:val="single" w:sz="12" w:space="6" w:color="111111"/>
        </w:pBdr>
      </w:pPr>
      <w:r>
        <w:rPr>
          <w:b/>
          <w:color w:val="111111"/>
          <w:sz w:val="20"/>
        </w:rPr>
        <w:t xml:space="preserve">The through-line:  </w:t>
      </w:r>
      <w:r>
        <w:rPr>
          <w:color w:val="444444"/>
          <w:sz w:val="21"/>
        </w:rPr>
        <w:t>Most of these were not features anyone asked for. They were faults found by reading what actually shipped, or reported by a reader. The pattern worth noting is that almost none of them announced themselves — a brief that sends twice, or loses its archive, or renders white-on-white, reports success.</w:t>
      </w:r>
    </w:p>
    <w:p>
      <w:r>
        <w:br w:type="page"/>
      </w:r>
    </w:p>
    <w:p>
      <w:pPr>
        <w:spacing w:before="320" w:after="80"/>
        <w:pBdr>
          <w:bottom w:val="single" w:sz="6" w:space="1" w:color="111111"/>
        </w:pBdr>
      </w:pPr>
      <w:r>
        <w:rPr>
          <w:b/>
          <w:i w:val="0"/>
          <w:color w:val="111111"/>
          <w:sz w:val="34"/>
        </w:rPr>
        <w:t>1.  Delivery</w:t>
      </w:r>
    </w:p>
    <w:p>
      <w:pPr>
        <w:spacing w:before="0" w:after="160"/>
      </w:pPr>
      <w:r>
        <w:rPr>
          <w:b w:val="0"/>
          <w:i w:val="0"/>
          <w:color w:val="444444"/>
          <w:sz w:val="22"/>
        </w:rPr>
        <w:t>A daily brief has one job before any other: arrive once, in the morning. All four failed that at least once in the past two weeks, each for a different reason.</w:t>
      </w:r>
    </w:p>
    <w:tbl>
      <w:tblPr>
        <w:tblStyle w:val="TableGrid"/>
        <w:tblW w:type="auto" w:w="0"/>
        <w:jc w:val="left"/>
        <w:tblLook w:firstColumn="1" w:firstRow="1" w:lastColumn="0" w:lastRow="0" w:noHBand="0" w:noVBand="1" w:val="04A0"/>
      </w:tblPr>
      <w:tblGrid>
        <w:gridCol w:w="3135"/>
        <w:gridCol w:w="3135"/>
        <w:gridCol w:w="3135"/>
      </w:tblGrid>
      <w:tr>
        <w:tc>
          <w:tcPr>
            <w:tcW w:type="dxa" w:w="3024"/>
            <w:shd w:val="clear" w:color="auto" w:fill="111111"/>
          </w:tcPr>
          <w:p>
            <w:pPr>
              <w:spacing w:before="40" w:after="40"/>
            </w:pPr>
            <w:r>
              <w:rPr>
                <w:b/>
                <w:color w:val="FFFFFF"/>
                <w:sz w:val="18"/>
              </w:rPr>
              <w:t>What happened</w:t>
            </w:r>
          </w:p>
        </w:tc>
        <w:tc>
          <w:tcPr>
            <w:tcW w:type="dxa" w:w="3312"/>
            <w:shd w:val="clear" w:color="auto" w:fill="111111"/>
          </w:tcPr>
          <w:p>
            <w:pPr>
              <w:spacing w:before="40" w:after="40"/>
            </w:pPr>
            <w:r>
              <w:rPr>
                <w:b/>
                <w:color w:val="FFFFFF"/>
                <w:sz w:val="18"/>
              </w:rPr>
              <w:t>Why</w:t>
            </w:r>
          </w:p>
        </w:tc>
        <w:tc>
          <w:tcPr>
            <w:tcW w:type="dxa" w:w="2736"/>
            <w:shd w:val="clear" w:color="auto" w:fill="111111"/>
          </w:tcPr>
          <w:p>
            <w:pPr>
              <w:spacing w:before="40" w:after="40"/>
            </w:pPr>
            <w:r>
              <w:rPr>
                <w:b/>
                <w:color w:val="FFFFFF"/>
                <w:sz w:val="18"/>
              </w:rPr>
              <w:t>Fixed by</w:t>
            </w:r>
          </w:p>
        </w:tc>
      </w:tr>
      <w:tr>
        <w:tc>
          <w:tcPr>
            <w:tcW w:type="dxa" w:w="3024"/>
          </w:tcPr>
          <w:p>
            <w:pPr>
              <w:spacing w:before="40" w:after="40"/>
            </w:pPr>
            <w:r>
              <w:rPr>
                <w:b w:val="0"/>
                <w:sz w:val="19"/>
              </w:rPr>
              <w:t>Japan mailed the list four times in one morning</w:t>
            </w:r>
          </w:p>
        </w:tc>
        <w:tc>
          <w:tcPr>
            <w:tcW w:type="dxa" w:w="3312"/>
          </w:tcPr>
          <w:p>
            <w:pPr>
              <w:spacing w:before="40" w:after="40"/>
            </w:pPr>
            <w:r>
              <w:rPr>
                <w:b w:val="0"/>
                <w:sz w:val="19"/>
              </w:rPr>
              <w:t>A commit message mentioning the phrase that triggers a live send was read as the trigger</w:t>
            </w:r>
          </w:p>
        </w:tc>
        <w:tc>
          <w:tcPr>
            <w:tcW w:type="dxa" w:w="2736"/>
          </w:tcPr>
          <w:p>
            <w:pPr>
              <w:spacing w:before="40" w:after="40"/>
            </w:pPr>
            <w:r>
              <w:rPr>
                <w:b w:val="0"/>
                <w:sz w:val="19"/>
              </w:rPr>
              <w:t>Only the subject line of a commit is read, not the body</w:t>
            </w:r>
          </w:p>
        </w:tc>
      </w:tr>
      <w:tr>
        <w:tc>
          <w:tcPr>
            <w:tcW w:type="dxa" w:w="3024"/>
            <w:shd w:val="clear" w:color="auto" w:fill="F2F2F2"/>
          </w:tcPr>
          <w:p>
            <w:pPr>
              <w:spacing w:before="40" w:after="40"/>
            </w:pPr>
            <w:r>
              <w:rPr>
                <w:b w:val="0"/>
                <w:sz w:val="19"/>
              </w:rPr>
              <w:t>Japan went out at 00:44</w:t>
            </w:r>
          </w:p>
        </w:tc>
        <w:tc>
          <w:tcPr>
            <w:tcW w:type="dxa" w:w="3312"/>
            <w:shd w:val="clear" w:color="auto" w:fill="F2F2F2"/>
          </w:tcPr>
          <w:p>
            <w:pPr>
              <w:spacing w:before="40" w:after="40"/>
            </w:pPr>
            <w:r>
              <w:rPr>
                <w:b w:val="0"/>
                <w:sz w:val="19"/>
              </w:rPr>
              <w:t>Nothing checked the hour before mailing</w:t>
            </w:r>
          </w:p>
        </w:tc>
        <w:tc>
          <w:tcPr>
            <w:tcW w:type="dxa" w:w="2736"/>
            <w:shd w:val="clear" w:color="auto" w:fill="F2F2F2"/>
          </w:tcPr>
          <w:p>
            <w:pPr>
              <w:spacing w:before="40" w:after="40"/>
            </w:pPr>
            <w:r>
              <w:rPr>
                <w:b w:val="0"/>
                <w:sz w:val="19"/>
              </w:rPr>
              <w:t>A floor: nothing reaches the list before the delivery hour</w:t>
            </w:r>
          </w:p>
        </w:tc>
      </w:tr>
      <w:tr>
        <w:tc>
          <w:tcPr>
            <w:tcW w:type="dxa" w:w="3024"/>
          </w:tcPr>
          <w:p>
            <w:pPr>
              <w:spacing w:before="40" w:after="40"/>
            </w:pPr>
            <w:r>
              <w:rPr>
                <w:b w:val="0"/>
                <w:sz w:val="19"/>
              </w:rPr>
              <w:t>Australia stopped sending entirely for a morning</w:t>
            </w:r>
          </w:p>
        </w:tc>
        <w:tc>
          <w:tcPr>
            <w:tcW w:type="dxa" w:w="3312"/>
          </w:tcPr>
          <w:p>
            <w:pPr>
              <w:spacing w:before="40" w:after="40"/>
            </w:pPr>
            <w:r>
              <w:rPr>
                <w:b w:val="0"/>
                <w:sz w:val="19"/>
              </w:rPr>
              <w:t>That floor was set above the only trigger that fires on time</w:t>
            </w:r>
          </w:p>
        </w:tc>
        <w:tc>
          <w:tcPr>
            <w:tcW w:type="dxa" w:w="2736"/>
          </w:tcPr>
          <w:p>
            <w:pPr>
              <w:spacing w:before="40" w:after="40"/>
            </w:pPr>
            <w:r>
              <w:rPr>
                <w:b w:val="0"/>
                <w:sz w:val="19"/>
              </w:rPr>
              <w:t>The floor moved below it</w:t>
            </w:r>
          </w:p>
        </w:tc>
      </w:tr>
      <w:tr>
        <w:tc>
          <w:tcPr>
            <w:tcW w:type="dxa" w:w="3024"/>
            <w:shd w:val="clear" w:color="auto" w:fill="F2F2F2"/>
          </w:tcPr>
          <w:p>
            <w:pPr>
              <w:spacing w:before="40" w:after="40"/>
            </w:pPr>
            <w:r>
              <w:rPr>
                <w:b w:val="0"/>
                <w:sz w:val="19"/>
              </w:rPr>
              <w:t>Australia sent twice yesterday</w:t>
            </w:r>
          </w:p>
        </w:tc>
        <w:tc>
          <w:tcPr>
            <w:tcW w:type="dxa" w:w="3312"/>
            <w:shd w:val="clear" w:color="auto" w:fill="F2F2F2"/>
          </w:tcPr>
          <w:p>
            <w:pPr>
              <w:spacing w:before="40" w:after="40"/>
            </w:pPr>
            <w:r>
              <w:rPr>
                <w:b w:val="0"/>
                <w:sz w:val="19"/>
              </w:rPr>
              <w:t>The check for "already sent today" ran before the code was downloaded, so it could never find the record</w:t>
            </w:r>
          </w:p>
        </w:tc>
        <w:tc>
          <w:tcPr>
            <w:tcW w:type="dxa" w:w="2736"/>
            <w:shd w:val="clear" w:color="auto" w:fill="F2F2F2"/>
          </w:tcPr>
          <w:p>
            <w:pPr>
              <w:spacing w:before="40" w:after="40"/>
            </w:pPr>
            <w:r>
              <w:rPr>
                <w:b w:val="0"/>
                <w:sz w:val="19"/>
              </w:rPr>
              <w:t>The download runs first; the record is saved on its own, immediately</w:t>
            </w:r>
          </w:p>
        </w:tc>
      </w:tr>
      <w:tr>
        <w:tc>
          <w:tcPr>
            <w:tcW w:type="dxa" w:w="3024"/>
          </w:tcPr>
          <w:p>
            <w:pPr>
              <w:spacing w:before="40" w:after="40"/>
            </w:pPr>
            <w:r>
              <w:rPr>
                <w:b w:val="0"/>
                <w:sz w:val="19"/>
              </w:rPr>
              <w:t>Korea did not send at 7 AM</w:t>
            </w:r>
          </w:p>
        </w:tc>
        <w:tc>
          <w:tcPr>
            <w:tcW w:type="dxa" w:w="3312"/>
          </w:tcPr>
          <w:p>
            <w:pPr>
              <w:spacing w:before="40" w:after="40"/>
            </w:pPr>
            <w:r>
              <w:rPr>
                <w:b w:val="0"/>
                <w:sz w:val="19"/>
              </w:rPr>
              <w:t>A design check measured one caption as too small and cancelled the whole brief</w:t>
            </w:r>
          </w:p>
        </w:tc>
        <w:tc>
          <w:tcPr>
            <w:tcW w:type="dxa" w:w="2736"/>
          </w:tcPr>
          <w:p>
            <w:pPr>
              <w:spacing w:before="40" w:after="40"/>
            </w:pPr>
            <w:r>
              <w:rPr>
                <w:b w:val="0"/>
                <w:sz w:val="19"/>
              </w:rPr>
              <w:t>Design checks report; only code failures can stop a send</w:t>
            </w:r>
          </w:p>
        </w:tc>
      </w:tr>
    </w:tbl>
    <w:p>
      <w:pPr>
        <w:spacing w:after="40"/>
      </w:pPr>
    </w:p>
    <w:p>
      <w:pPr>
        <w:spacing w:before="120" w:after="200"/>
        <w:ind w:left="288"/>
        <w:pBdr>
          <w:left w:val="single" w:sz="12" w:space="6" w:color="111111"/>
        </w:pBdr>
      </w:pPr>
      <w:r>
        <w:rPr>
          <w:b/>
          <w:color w:val="111111"/>
          <w:sz w:val="20"/>
        </w:rPr>
        <w:t xml:space="preserve">The rule that came out of it:  </w:t>
      </w:r>
      <w:r>
        <w:rPr>
          <w:color w:val="444444"/>
          <w:sz w:val="21"/>
        </w:rPr>
        <w:t>A check may cancel the brief only if it tests the code. Anything that measures the day's content — contrast, layout, length — reports and lets the brief go. A brief that does not arrive is a worse outcome than a brief with a small caption.</w:t>
      </w:r>
    </w:p>
    <w:p>
      <w:pPr>
        <w:spacing w:before="120" w:after="120"/>
      </w:pPr>
      <w:r>
        <w:rPr>
          <w:b w:val="0"/>
          <w:i w:val="0"/>
          <w:color w:val="444444"/>
          <w:sz w:val="21"/>
        </w:rPr>
        <w:t>All four now deliver at 7:00 AM ET, with fallback runs behind the primary trigger and a guard that makes each fallback a no-op once the brief has gone out. Australia is at 6:00 AM until its external scheduler is repointed; raising its floor before moving that schedule is what broke it once already.</w:t>
      </w:r>
    </w:p>
    <w:p>
      <w:r>
        <w:br w:type="page"/>
      </w:r>
    </w:p>
    <w:p>
      <w:pPr>
        <w:spacing w:before="320" w:after="80"/>
        <w:pBdr>
          <w:bottom w:val="single" w:sz="6" w:space="1" w:color="111111"/>
        </w:pBdr>
      </w:pPr>
      <w:r>
        <w:rPr>
          <w:b/>
          <w:i w:val="0"/>
          <w:color w:val="111111"/>
          <w:sz w:val="34"/>
        </w:rPr>
        <w:t>2.  One look across the four</w:t>
      </w:r>
    </w:p>
    <w:p>
      <w:pPr>
        <w:spacing w:before="0" w:after="160"/>
      </w:pPr>
      <w:r>
        <w:rPr>
          <w:b w:val="0"/>
          <w:i w:val="0"/>
          <w:color w:val="444444"/>
          <w:sz w:val="22"/>
        </w:rPr>
        <w:t>The four briefs were built one after another, so each carried the habits of the week it was written. Opened side by side they did not read as the same publication. That is now fixed at the level of the shared code, not by editing four files to match.</w:t>
      </w:r>
    </w:p>
    <w:tbl>
      <w:tblPr>
        <w:tblStyle w:val="TableGrid"/>
        <w:tblW w:type="auto" w:w="0"/>
        <w:jc w:val="left"/>
        <w:tblLook w:firstColumn="1" w:firstRow="1" w:lastColumn="0" w:lastRow="0" w:noHBand="0" w:noVBand="1" w:val="04A0"/>
      </w:tblPr>
      <w:tblGrid>
        <w:gridCol w:w="3135"/>
        <w:gridCol w:w="3135"/>
        <w:gridCol w:w="3135"/>
      </w:tblGrid>
      <w:tr>
        <w:tc>
          <w:tcPr>
            <w:tcW w:type="dxa" w:w="1872"/>
            <w:shd w:val="clear" w:color="auto" w:fill="111111"/>
          </w:tcPr>
          <w:p>
            <w:pPr>
              <w:spacing w:before="40" w:after="40"/>
            </w:pPr>
            <w:r>
              <w:rPr>
                <w:b/>
                <w:color w:val="FFFFFF"/>
                <w:sz w:val="18"/>
              </w:rPr>
              <w:t>Element</w:t>
            </w:r>
          </w:p>
        </w:tc>
        <w:tc>
          <w:tcPr>
            <w:tcW w:type="dxa" w:w="3600"/>
            <w:shd w:val="clear" w:color="auto" w:fill="111111"/>
          </w:tcPr>
          <w:p>
            <w:pPr>
              <w:spacing w:before="40" w:after="40"/>
            </w:pPr>
            <w:r>
              <w:rPr>
                <w:b/>
                <w:color w:val="FFFFFF"/>
                <w:sz w:val="18"/>
              </w:rPr>
              <w:t>Before</w:t>
            </w:r>
          </w:p>
        </w:tc>
        <w:tc>
          <w:tcPr>
            <w:tcW w:type="dxa" w:w="3600"/>
            <w:shd w:val="clear" w:color="auto" w:fill="111111"/>
          </w:tcPr>
          <w:p>
            <w:pPr>
              <w:spacing w:before="40" w:after="40"/>
            </w:pPr>
            <w:r>
              <w:rPr>
                <w:b/>
                <w:color w:val="FFFFFF"/>
                <w:sz w:val="18"/>
              </w:rPr>
              <w:t>Now</w:t>
            </w:r>
          </w:p>
        </w:tc>
      </w:tr>
      <w:tr>
        <w:tc>
          <w:tcPr>
            <w:tcW w:type="dxa" w:w="1872"/>
          </w:tcPr>
          <w:p>
            <w:pPr>
              <w:spacing w:before="40" w:after="40"/>
            </w:pPr>
            <w:r>
              <w:rPr>
                <w:b w:val="0"/>
                <w:sz w:val="19"/>
              </w:rPr>
              <w:t>Subject line</w:t>
            </w:r>
          </w:p>
        </w:tc>
        <w:tc>
          <w:tcPr>
            <w:tcW w:type="dxa" w:w="3600"/>
          </w:tcPr>
          <w:p>
            <w:pPr>
              <w:spacing w:before="40" w:after="40"/>
            </w:pPr>
            <w:r>
              <w:rPr>
                <w:b w:val="0"/>
                <w:sz w:val="19"/>
              </w:rPr>
              <w:t>Four different shapes, some with the summary appended</w:t>
            </w:r>
          </w:p>
        </w:tc>
        <w:tc>
          <w:tcPr>
            <w:tcW w:type="dxa" w:w="3600"/>
          </w:tcPr>
          <w:p>
            <w:pPr>
              <w:spacing w:before="40" w:after="40"/>
            </w:pPr>
            <w:r>
              <w:rPr>
                <w:b w:val="0"/>
                <w:sz w:val="19"/>
              </w:rPr>
              <w:t>Name first, then the date: "Japan Daily Brief | Thursday, September 10, 2026"</w:t>
            </w:r>
          </w:p>
        </w:tc>
      </w:tr>
      <w:tr>
        <w:tc>
          <w:tcPr>
            <w:tcW w:type="dxa" w:w="1872"/>
            <w:shd w:val="clear" w:color="auto" w:fill="F2F2F2"/>
          </w:tcPr>
          <w:p>
            <w:pPr>
              <w:spacing w:before="40" w:after="40"/>
            </w:pPr>
            <w:r>
              <w:rPr>
                <w:b w:val="0"/>
                <w:sz w:val="19"/>
              </w:rPr>
              <w:t>Masthead</w:t>
            </w:r>
          </w:p>
        </w:tc>
        <w:tc>
          <w:tcPr>
            <w:tcW w:type="dxa" w:w="3600"/>
            <w:shd w:val="clear" w:color="auto" w:fill="F2F2F2"/>
          </w:tcPr>
          <w:p>
            <w:pPr>
              <w:spacing w:before="40" w:after="40"/>
            </w:pPr>
            <w:r>
              <w:rPr>
                <w:b w:val="0"/>
                <w:sz w:val="19"/>
              </w:rPr>
              <w:t>Different colours, alignments and type sizes</w:t>
            </w:r>
          </w:p>
        </w:tc>
        <w:tc>
          <w:tcPr>
            <w:tcW w:type="dxa" w:w="3600"/>
            <w:shd w:val="clear" w:color="auto" w:fill="F2F2F2"/>
          </w:tcPr>
          <w:p>
            <w:pPr>
              <w:spacing w:before="40" w:after="40"/>
            </w:pPr>
            <w:r>
              <w:rPr>
                <w:b w:val="0"/>
                <w:sz w:val="19"/>
              </w:rPr>
              <w:t>One band, each edition's own colour, same structure</w:t>
            </w:r>
          </w:p>
        </w:tc>
      </w:tr>
      <w:tr>
        <w:tc>
          <w:tcPr>
            <w:tcW w:type="dxa" w:w="1872"/>
          </w:tcPr>
          <w:p>
            <w:pPr>
              <w:spacing w:before="40" w:after="40"/>
            </w:pPr>
            <w:r>
              <w:rPr>
                <w:b w:val="0"/>
                <w:sz w:val="19"/>
              </w:rPr>
              <w:t>Section headings</w:t>
            </w:r>
          </w:p>
        </w:tc>
        <w:tc>
          <w:tcPr>
            <w:tcW w:type="dxa" w:w="3600"/>
          </w:tcPr>
          <w:p>
            <w:pPr>
              <w:spacing w:before="40" w:after="40"/>
            </w:pPr>
            <w:r>
              <w:rPr>
                <w:b w:val="0"/>
                <w:sz w:val="19"/>
              </w:rPr>
              <w:t>Coloured type over a hairline rule</w:t>
            </w:r>
          </w:p>
        </w:tc>
        <w:tc>
          <w:tcPr>
            <w:tcW w:type="dxa" w:w="3600"/>
          </w:tcPr>
          <w:p>
            <w:pPr>
              <w:spacing w:before="40" w:after="40"/>
            </w:pPr>
            <w:r>
              <w:rPr>
                <w:b w:val="0"/>
                <w:sz w:val="19"/>
              </w:rPr>
              <w:t>A black bar with an accent ring — a hard stop between sections</w:t>
            </w:r>
          </w:p>
        </w:tc>
      </w:tr>
      <w:tr>
        <w:tc>
          <w:tcPr>
            <w:tcW w:type="dxa" w:w="1872"/>
            <w:shd w:val="clear" w:color="auto" w:fill="F2F2F2"/>
          </w:tcPr>
          <w:p>
            <w:pPr>
              <w:spacing w:before="40" w:after="40"/>
            </w:pPr>
            <w:r>
              <w:rPr>
                <w:b w:val="0"/>
                <w:sz w:val="19"/>
              </w:rPr>
              <w:t>Archive page</w:t>
            </w:r>
          </w:p>
        </w:tc>
        <w:tc>
          <w:tcPr>
            <w:tcW w:type="dxa" w:w="3600"/>
            <w:shd w:val="clear" w:color="auto" w:fill="F2F2F2"/>
          </w:tcPr>
          <w:p>
            <w:pPr>
              <w:spacing w:before="40" w:after="40"/>
            </w:pPr>
            <w:r>
              <w:rPr>
                <w:b w:val="0"/>
                <w:sz w:val="19"/>
              </w:rPr>
              <w:t>Korea had a searchable archive; the others had a landing page</w:t>
            </w:r>
          </w:p>
        </w:tc>
        <w:tc>
          <w:tcPr>
            <w:tcW w:type="dxa" w:w="3600"/>
            <w:shd w:val="clear" w:color="auto" w:fill="F2F2F2"/>
          </w:tcPr>
          <w:p>
            <w:pPr>
              <w:spacing w:before="40" w:after="40"/>
            </w:pPr>
            <w:r>
              <w:rPr>
                <w:b w:val="0"/>
                <w:sz w:val="19"/>
              </w:rPr>
              <w:t>One archive page, built from one module, searchable in all four</w:t>
            </w:r>
          </w:p>
        </w:tc>
      </w:tr>
      <w:tr>
        <w:tc>
          <w:tcPr>
            <w:tcW w:type="dxa" w:w="1872"/>
          </w:tcPr>
          <w:p>
            <w:pPr>
              <w:spacing w:before="40" w:after="40"/>
            </w:pPr>
            <w:r>
              <w:rPr>
                <w:b w:val="0"/>
                <w:sz w:val="19"/>
              </w:rPr>
              <w:t>Overnight items</w:t>
            </w:r>
          </w:p>
        </w:tc>
        <w:tc>
          <w:tcPr>
            <w:tcW w:type="dxa" w:w="3600"/>
          </w:tcPr>
          <w:p>
            <w:pPr>
              <w:spacing w:before="40" w:after="40"/>
            </w:pPr>
            <w:r>
              <w:rPr>
                <w:b w:val="0"/>
                <w:sz w:val="19"/>
              </w:rPr>
              <w:t>Headline and summary run together in a paragraph</w:t>
            </w:r>
          </w:p>
        </w:tc>
        <w:tc>
          <w:tcPr>
            <w:tcW w:type="dxa" w:w="3600"/>
          </w:tcPr>
          <w:p>
            <w:pPr>
              <w:spacing w:before="40" w:after="40"/>
            </w:pPr>
            <w:r>
              <w:rPr>
                <w:b w:val="0"/>
                <w:sz w:val="19"/>
              </w:rPr>
              <w:t>Headline on one line, summary on the next</w:t>
            </w:r>
          </w:p>
        </w:tc>
      </w:tr>
      <w:tr>
        <w:tc>
          <w:tcPr>
            <w:tcW w:type="dxa" w:w="1872"/>
            <w:shd w:val="clear" w:color="auto" w:fill="F2F2F2"/>
          </w:tcPr>
          <w:p>
            <w:pPr>
              <w:spacing w:before="40" w:after="40"/>
            </w:pPr>
            <w:r>
              <w:rPr>
                <w:b w:val="0"/>
                <w:sz w:val="19"/>
              </w:rPr>
              <w:t>Market moves</w:t>
            </w:r>
          </w:p>
        </w:tc>
        <w:tc>
          <w:tcPr>
            <w:tcW w:type="dxa" w:w="3600"/>
            <w:shd w:val="clear" w:color="auto" w:fill="F2F2F2"/>
          </w:tcPr>
          <w:p>
            <w:pPr>
              <w:spacing w:before="40" w:after="40"/>
            </w:pPr>
            <w:r>
              <w:rPr>
                <w:b w:val="0"/>
                <w:sz w:val="19"/>
              </w:rPr>
              <w:t>Direction shown by an arrow only</w:t>
            </w:r>
          </w:p>
        </w:tc>
        <w:tc>
          <w:tcPr>
            <w:tcW w:type="dxa" w:w="3600"/>
            <w:shd w:val="clear" w:color="auto" w:fill="F2F2F2"/>
          </w:tcPr>
          <w:p>
            <w:pPr>
              <w:spacing w:before="40" w:after="40"/>
            </w:pPr>
            <w:r>
              <w:rPr>
                <w:b w:val="0"/>
                <w:sz w:val="19"/>
              </w:rPr>
              <w:t>Green up, red down, in every edition</w:t>
            </w:r>
          </w:p>
        </w:tc>
      </w:tr>
      <w:tr>
        <w:tc>
          <w:tcPr>
            <w:tcW w:type="dxa" w:w="1872"/>
          </w:tcPr>
          <w:p>
            <w:pPr>
              <w:spacing w:before="40" w:after="40"/>
            </w:pPr>
            <w:r>
              <w:rPr>
                <w:b w:val="0"/>
                <w:sz w:val="19"/>
              </w:rPr>
              <w:t>Footer</w:t>
            </w:r>
          </w:p>
        </w:tc>
        <w:tc>
          <w:tcPr>
            <w:tcW w:type="dxa" w:w="3600"/>
          </w:tcPr>
          <w:p>
            <w:pPr>
              <w:spacing w:before="40" w:after="40"/>
            </w:pPr>
            <w:r>
              <w:rPr>
                <w:b w:val="0"/>
                <w:sz w:val="19"/>
              </w:rPr>
              <w:t>Two and three lines, worded differently</w:t>
            </w:r>
          </w:p>
        </w:tc>
        <w:tc>
          <w:tcPr>
            <w:tcW w:type="dxa" w:w="3600"/>
          </w:tcPr>
          <w:p>
            <w:pPr>
              <w:spacing w:before="40" w:after="40"/>
            </w:pPr>
            <w:r>
              <w:rPr>
                <w:b w:val="0"/>
                <w:sz w:val="19"/>
              </w:rPr>
              <w:t>One line, same wording</w:t>
            </w:r>
          </w:p>
        </w:tc>
      </w:tr>
      <w:tr>
        <w:tc>
          <w:tcPr>
            <w:tcW w:type="dxa" w:w="1872"/>
            <w:shd w:val="clear" w:color="auto" w:fill="F2F2F2"/>
          </w:tcPr>
          <w:p>
            <w:pPr>
              <w:spacing w:before="40" w:after="40"/>
            </w:pPr>
            <w:r>
              <w:rPr>
                <w:b w:val="0"/>
                <w:sz w:val="19"/>
              </w:rPr>
              <w:t>Frame width</w:t>
            </w:r>
          </w:p>
        </w:tc>
        <w:tc>
          <w:tcPr>
            <w:tcW w:type="dxa" w:w="3600"/>
            <w:shd w:val="clear" w:color="auto" w:fill="F2F2F2"/>
          </w:tcPr>
          <w:p>
            <w:pPr>
              <w:spacing w:before="40" w:after="40"/>
            </w:pPr>
            <w:r>
              <w:rPr>
                <w:b w:val="0"/>
                <w:sz w:val="19"/>
              </w:rPr>
              <w:t>Varied by edition</w:t>
            </w:r>
          </w:p>
        </w:tc>
        <w:tc>
          <w:tcPr>
            <w:tcW w:type="dxa" w:w="3600"/>
            <w:shd w:val="clear" w:color="auto" w:fill="F2F2F2"/>
          </w:tcPr>
          <w:p>
            <w:pPr>
              <w:spacing w:before="40" w:after="40"/>
            </w:pPr>
            <w:r>
              <w:rPr>
                <w:b w:val="0"/>
                <w:sz w:val="19"/>
              </w:rPr>
              <w:t>680 pixels everywhere, capped the same way on a tablet</w:t>
            </w:r>
          </w:p>
        </w:tc>
      </w:tr>
    </w:tbl>
    <w:p>
      <w:pPr>
        <w:spacing w:after="40"/>
      </w:pPr>
    </w:p>
    <w:p>
      <w:pPr>
        <w:spacing w:before="120" w:after="120"/>
      </w:pPr>
      <w:r>
        <w:rPr>
          <w:b w:val="0"/>
          <w:i w:val="0"/>
          <w:color w:val="444444"/>
          <w:sz w:val="21"/>
        </w:rPr>
        <w:t>The Korea "Week in Review" was the last holdout. It predated the redesign and kept the older look — a gold accent the daily uses nowhere, a green-black panel where the daily's is navy, no dark mode. Rather than restate the palette, it now imports it from the daily renderer, so the two cannot drift apart again.</w:t>
      </w:r>
    </w:p>
    <w:p>
      <w:r>
        <w:br w:type="page"/>
      </w:r>
    </w:p>
    <w:p>
      <w:pPr>
        <w:spacing w:before="320" w:after="80"/>
        <w:pBdr>
          <w:bottom w:val="single" w:sz="6" w:space="1" w:color="111111"/>
        </w:pBdr>
      </w:pPr>
      <w:r>
        <w:rPr>
          <w:b/>
          <w:i w:val="0"/>
          <w:color w:val="111111"/>
          <w:sz w:val="34"/>
        </w:rPr>
        <w:t>3.  Dark mode</w:t>
      </w:r>
    </w:p>
    <w:p>
      <w:pPr>
        <w:spacing w:before="0" w:after="160"/>
      </w:pPr>
      <w:r>
        <w:rPr>
          <w:b w:val="0"/>
          <w:i w:val="0"/>
          <w:color w:val="444444"/>
          <w:sz w:val="22"/>
        </w:rPr>
        <w:t>A reader whose mail client is set to dark mode sees a different brief. Colours chosen against white do not survive the switch, and nothing complains — absent styling is not an error, so a section can render as near-black text on a near-black ground and every check still passes.</w:t>
      </w:r>
    </w:p>
    <w:p>
      <w:pPr>
        <w:spacing w:before="120" w:after="200"/>
        <w:ind w:left="288"/>
        <w:pBdr>
          <w:left w:val="single" w:sz="12" w:space="6" w:color="111111"/>
        </w:pBdr>
      </w:pPr>
      <w:r>
        <w:rPr>
          <w:b/>
          <w:color w:val="111111"/>
          <w:sz w:val="20"/>
        </w:rPr>
        <w:t xml:space="preserve">What now catches it:  </w:t>
      </w:r>
      <w:r>
        <w:rPr>
          <w:color w:val="444444"/>
          <w:sz w:val="21"/>
        </w:rPr>
        <w:t>A check that reads every colour out of the finished brief and fails if any of them has no dark counterpart. It runs on every build, so a colour added today cannot reach a reader tomorrow without one.</w:t>
      </w:r>
    </w:p>
    <w:tbl>
      <w:tblPr>
        <w:tblStyle w:val="TableGrid"/>
        <w:tblW w:type="auto" w:w="0"/>
        <w:jc w:val="left"/>
        <w:tblLook w:firstColumn="1" w:firstRow="1" w:lastColumn="0" w:lastRow="0" w:noHBand="0" w:noVBand="1" w:val="04A0"/>
      </w:tblPr>
      <w:tblGrid>
        <w:gridCol w:w="3135"/>
        <w:gridCol w:w="3135"/>
        <w:gridCol w:w="3135"/>
      </w:tblGrid>
      <w:tr>
        <w:tc>
          <w:tcPr>
            <w:tcW w:type="dxa" w:w="3744"/>
            <w:shd w:val="clear" w:color="auto" w:fill="111111"/>
          </w:tcPr>
          <w:p>
            <w:pPr>
              <w:spacing w:before="40" w:after="40"/>
            </w:pPr>
            <w:r>
              <w:rPr>
                <w:b/>
                <w:color w:val="FFFFFF"/>
                <w:sz w:val="18"/>
              </w:rPr>
              <w:t>Found</w:t>
            </w:r>
          </w:p>
        </w:tc>
        <w:tc>
          <w:tcPr>
            <w:tcW w:type="dxa" w:w="2736"/>
            <w:shd w:val="clear" w:color="auto" w:fill="111111"/>
          </w:tcPr>
          <w:p>
            <w:pPr>
              <w:spacing w:before="40" w:after="40"/>
            </w:pPr>
            <w:r>
              <w:rPr>
                <w:b/>
                <w:color w:val="FFFFFF"/>
                <w:sz w:val="18"/>
              </w:rPr>
              <w:t>Reading</w:t>
            </w:r>
          </w:p>
        </w:tc>
        <w:tc>
          <w:tcPr>
            <w:tcW w:type="dxa" w:w="2448"/>
            <w:shd w:val="clear" w:color="auto" w:fill="111111"/>
          </w:tcPr>
          <w:p>
            <w:pPr>
              <w:spacing w:before="40" w:after="40"/>
            </w:pPr>
            <w:r>
              <w:rPr>
                <w:b/>
                <w:color w:val="FFFFFF"/>
                <w:sz w:val="18"/>
              </w:rPr>
              <w:t>Status</w:t>
            </w:r>
          </w:p>
        </w:tc>
      </w:tr>
      <w:tr>
        <w:tc>
          <w:tcPr>
            <w:tcW w:type="dxa" w:w="3744"/>
          </w:tcPr>
          <w:p>
            <w:pPr>
              <w:spacing w:before="40" w:after="40"/>
            </w:pPr>
            <w:r>
              <w:rPr>
                <w:b w:val="0"/>
                <w:sz w:val="19"/>
              </w:rPr>
              <w:t>China's market arrows rendered white in dark mode</w:t>
            </w:r>
          </w:p>
        </w:tc>
        <w:tc>
          <w:tcPr>
            <w:tcW w:type="dxa" w:w="2736"/>
          </w:tcPr>
          <w:p>
            <w:pPr>
              <w:spacing w:before="40" w:after="40"/>
            </w:pPr>
            <w:r>
              <w:rPr>
                <w:b w:val="0"/>
                <w:sz w:val="19"/>
              </w:rPr>
              <w:t>Invisible on a white ground</w:t>
            </w:r>
          </w:p>
        </w:tc>
        <w:tc>
          <w:tcPr>
            <w:tcW w:type="dxa" w:w="2448"/>
          </w:tcPr>
          <w:p>
            <w:pPr>
              <w:spacing w:before="40" w:after="40"/>
            </w:pPr>
            <w:r>
              <w:rPr>
                <w:b w:val="0"/>
                <w:sz w:val="19"/>
              </w:rPr>
              <w:t>Fixed</w:t>
            </w:r>
          </w:p>
        </w:tc>
      </w:tr>
      <w:tr>
        <w:tc>
          <w:tcPr>
            <w:tcW w:type="dxa" w:w="3744"/>
            <w:shd w:val="clear" w:color="auto" w:fill="F2F2F2"/>
          </w:tcPr>
          <w:p>
            <w:pPr>
              <w:spacing w:before="40" w:after="40"/>
            </w:pPr>
            <w:r>
              <w:rPr>
                <w:b w:val="0"/>
                <w:sz w:val="19"/>
              </w:rPr>
              <w:t>Korea's polling sparkline was unreadable in one mode or the other</w:t>
            </w:r>
          </w:p>
        </w:tc>
        <w:tc>
          <w:tcPr>
            <w:tcW w:type="dxa" w:w="2736"/>
            <w:shd w:val="clear" w:color="auto" w:fill="F2F2F2"/>
          </w:tcPr>
          <w:p>
            <w:pPr>
              <w:spacing w:before="40" w:after="40"/>
            </w:pPr>
            <w:r>
              <w:rPr>
                <w:b w:val="0"/>
                <w:sz w:val="19"/>
              </w:rPr>
              <w:t>Below the legibility threshold either way</w:t>
            </w:r>
          </w:p>
        </w:tc>
        <w:tc>
          <w:tcPr>
            <w:tcW w:type="dxa" w:w="2448"/>
            <w:shd w:val="clear" w:color="auto" w:fill="F2F2F2"/>
          </w:tcPr>
          <w:p>
            <w:pPr>
              <w:spacing w:before="40" w:after="40"/>
            </w:pPr>
            <w:r>
              <w:rPr>
                <w:b w:val="0"/>
                <w:sz w:val="19"/>
              </w:rPr>
              <w:t>Replaced with a plain trend line</w:t>
            </w:r>
          </w:p>
        </w:tc>
      </w:tr>
      <w:tr>
        <w:tc>
          <w:tcPr>
            <w:tcW w:type="dxa" w:w="3744"/>
          </w:tcPr>
          <w:p>
            <w:pPr>
              <w:spacing w:before="40" w:after="40"/>
            </w:pPr>
            <w:r>
              <w:rPr>
                <w:b w:val="0"/>
                <w:sz w:val="19"/>
              </w:rPr>
              <w:t>The buttons in the footer went dark on dark</w:t>
            </w:r>
          </w:p>
        </w:tc>
        <w:tc>
          <w:tcPr>
            <w:tcW w:type="dxa" w:w="2736"/>
          </w:tcPr>
          <w:p>
            <w:pPr>
              <w:spacing w:before="40" w:after="40"/>
            </w:pPr>
            <w:r>
              <w:rPr>
                <w:b w:val="0"/>
                <w:sz w:val="19"/>
              </w:rPr>
              <w:t>1.23 to 1, against a 4.5 to 1 standard</w:t>
            </w:r>
          </w:p>
        </w:tc>
        <w:tc>
          <w:tcPr>
            <w:tcW w:type="dxa" w:w="2448"/>
          </w:tcPr>
          <w:p>
            <w:pPr>
              <w:spacing w:before="40" w:after="40"/>
            </w:pPr>
            <w:r>
              <w:rPr>
                <w:b w:val="0"/>
                <w:sz w:val="19"/>
              </w:rPr>
              <w:t>Fixed</w:t>
            </w:r>
          </w:p>
        </w:tc>
      </w:tr>
      <w:tr>
        <w:tc>
          <w:tcPr>
            <w:tcW w:type="dxa" w:w="3744"/>
            <w:shd w:val="clear" w:color="auto" w:fill="F2F2F2"/>
          </w:tcPr>
          <w:p>
            <w:pPr>
              <w:spacing w:before="40" w:after="40"/>
            </w:pPr>
            <w:r>
              <w:rPr>
                <w:b w:val="0"/>
                <w:sz w:val="19"/>
              </w:rPr>
              <w:t>A caption in Korea's polling section</w:t>
            </w:r>
          </w:p>
        </w:tc>
        <w:tc>
          <w:tcPr>
            <w:tcW w:type="dxa" w:w="2736"/>
            <w:shd w:val="clear" w:color="auto" w:fill="F2F2F2"/>
          </w:tcPr>
          <w:p>
            <w:pPr>
              <w:spacing w:before="40" w:after="40"/>
            </w:pPr>
            <w:r>
              <w:rPr>
                <w:b w:val="0"/>
                <w:sz w:val="19"/>
              </w:rPr>
              <w:t>2.55 to 1 at 9 pixels</w:t>
            </w:r>
          </w:p>
        </w:tc>
        <w:tc>
          <w:tcPr>
            <w:tcW w:type="dxa" w:w="2448"/>
            <w:shd w:val="clear" w:color="auto" w:fill="F2F2F2"/>
          </w:tcPr>
          <w:p>
            <w:pPr>
              <w:spacing w:before="40" w:after="40"/>
            </w:pPr>
            <w:r>
              <w:rPr>
                <w:b w:val="0"/>
                <w:sz w:val="19"/>
              </w:rPr>
              <w:t>Fixed — and it was this that cancelled a send</w:t>
            </w:r>
          </w:p>
        </w:tc>
      </w:tr>
      <w:tr>
        <w:tc>
          <w:tcPr>
            <w:tcW w:type="dxa" w:w="3744"/>
          </w:tcPr>
          <w:p>
            <w:pPr>
              <w:spacing w:before="40" w:after="40"/>
            </w:pPr>
            <w:r>
              <w:rPr>
                <w:b w:val="0"/>
                <w:sz w:val="19"/>
              </w:rPr>
              <w:t>Australia's third accent colour had no dark rule at all</w:t>
            </w:r>
          </w:p>
        </w:tc>
        <w:tc>
          <w:tcPr>
            <w:tcW w:type="dxa" w:w="2736"/>
          </w:tcPr>
          <w:p>
            <w:pPr>
              <w:spacing w:before="40" w:after="40"/>
            </w:pPr>
            <w:r>
              <w:rPr>
                <w:b w:val="0"/>
                <w:sz w:val="19"/>
              </w:rPr>
              <w:t>2.1 to 1</w:t>
            </w:r>
          </w:p>
        </w:tc>
        <w:tc>
          <w:tcPr>
            <w:tcW w:type="dxa" w:w="2448"/>
          </w:tcPr>
          <w:p>
            <w:pPr>
              <w:spacing w:before="40" w:after="40"/>
            </w:pPr>
            <w:r>
              <w:rPr>
                <w:b w:val="0"/>
                <w:sz w:val="19"/>
              </w:rPr>
              <w:t>Fixed</w:t>
            </w:r>
          </w:p>
        </w:tc>
      </w:tr>
    </w:tbl>
    <w:p>
      <w:pPr>
        <w:spacing w:after="40"/>
      </w:pPr>
    </w:p>
    <w:p>
      <w:pPr>
        <w:spacing w:before="120" w:after="120"/>
      </w:pPr>
      <w:r>
        <w:rPr>
          <w:b w:val="0"/>
          <w:i w:val="0"/>
          <w:color w:val="444444"/>
          <w:sz w:val="21"/>
        </w:rPr>
        <w:t>The briefs also now declare which colour schemes they support, so a mail client stops guessing and inverting things itself.</w:t>
      </w:r>
    </w:p>
    <w:p>
      <w:r>
        <w:br w:type="page"/>
      </w:r>
    </w:p>
    <w:p>
      <w:pPr>
        <w:spacing w:before="320" w:after="80"/>
        <w:pBdr>
          <w:bottom w:val="single" w:sz="6" w:space="1" w:color="111111"/>
        </w:pBdr>
      </w:pPr>
      <w:r>
        <w:rPr>
          <w:b/>
          <w:i w:val="0"/>
          <w:color w:val="111111"/>
          <w:sz w:val="34"/>
        </w:rPr>
        <w:t>4.  Accuracy</w:t>
      </w:r>
    </w:p>
    <w:p>
      <w:pPr>
        <w:spacing w:before="0" w:after="160"/>
      </w:pPr>
      <w:r>
        <w:rPr>
          <w:b w:val="0"/>
          <w:i w:val="0"/>
          <w:color w:val="444444"/>
          <w:sz w:val="22"/>
        </w:rPr>
        <w:t>The governing rule in all four briefs is that every claim traces to an article collected that morning. Two things were quietly undermining it.</w:t>
      </w:r>
    </w:p>
    <w:p>
      <w:pPr>
        <w:spacing w:before="0" w:after="60"/>
      </w:pPr>
      <w:r>
        <w:rPr>
          <w:b/>
          <w:i w:val="0"/>
          <w:color w:val="111111"/>
          <w:sz w:val="24"/>
        </w:rPr>
        <w:t>A story with no link</w:t>
      </w:r>
    </w:p>
    <w:p>
      <w:pPr>
        <w:spacing w:before="0" w:after="160"/>
      </w:pPr>
      <w:r>
        <w:rPr>
          <w:b w:val="0"/>
          <w:i w:val="0"/>
          <w:color w:val="444444"/>
          <w:sz w:val="21"/>
        </w:rPr>
        <w:t>A reader spotted a Japan item attributed to the Washington Post with no hyperlink. The link checker had done its job — it could not match the address to anything collected that morning — but it removed the link and kept the story. That published the problem instead of catching it: the attribution stayed, and now nothing behind it could be checked. An item that cannot be traced is now dropped, after one attempt to recover the right link from the same publisher.</w:t>
      </w:r>
    </w:p>
    <w:p>
      <w:pPr>
        <w:spacing w:before="0" w:after="60"/>
      </w:pPr>
      <w:r>
        <w:rPr>
          <w:b/>
          <w:i w:val="0"/>
          <w:color w:val="111111"/>
          <w:sz w:val="24"/>
        </w:rPr>
        <w:t>Formatting marks printed as text</w:t>
      </w:r>
    </w:p>
    <w:p>
      <w:pPr>
        <w:spacing w:before="0" w:after="160"/>
      </w:pPr>
      <w:r>
        <w:rPr>
          <w:b w:val="0"/>
          <w:i w:val="0"/>
          <w:color w:val="444444"/>
          <w:sz w:val="21"/>
        </w:rPr>
        <w:t>The model marks names for emphasis. In several places those marks were being printed literally, so readers saw raw markup in the middle of a sentence. Every field that carries prose now runs through the same conversion, and a check asserts it by reading the renderer itself rather than a test fixture — the earlier test passed while the fault was live.</w:t>
      </w:r>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111111"/>
          </w:tcPr>
          <w:p>
            <w:pPr>
              <w:spacing w:before="40" w:after="40"/>
            </w:pPr>
            <w:r>
              <w:rPr>
                <w:b/>
                <w:color w:val="FFFFFF"/>
                <w:sz w:val="18"/>
              </w:rPr>
              <w:t>Also fixed</w:t>
            </w:r>
          </w:p>
        </w:tc>
        <w:tc>
          <w:tcPr>
            <w:tcW w:type="dxa" w:w="5328"/>
            <w:shd w:val="clear" w:color="auto" w:fill="111111"/>
          </w:tcPr>
          <w:p>
            <w:pPr>
              <w:spacing w:before="40" w:after="40"/>
            </w:pPr>
            <w:r>
              <w:rPr>
                <w:b/>
                <w:color w:val="FFFFFF"/>
                <w:sz w:val="18"/>
              </w:rPr>
              <w:t>What it was</w:t>
            </w:r>
          </w:p>
        </w:tc>
      </w:tr>
      <w:tr>
        <w:tc>
          <w:tcPr>
            <w:tcW w:type="dxa" w:w="3600"/>
          </w:tcPr>
          <w:p>
            <w:pPr>
              <w:spacing w:before="40" w:after="40"/>
            </w:pPr>
            <w:r>
              <w:rPr>
                <w:b w:val="0"/>
                <w:sz w:val="19"/>
              </w:rPr>
              <w:t>Japan: a minister's surname with no first name</w:t>
            </w:r>
          </w:p>
        </w:tc>
        <w:tc>
          <w:tcPr>
            <w:tcW w:type="dxa" w:w="5328"/>
          </w:tcPr>
          <w:p>
            <w:pPr>
              <w:spacing w:before="40" w:after="40"/>
            </w:pPr>
            <w:r>
              <w:rPr>
                <w:b w:val="0"/>
                <w:sz w:val="19"/>
              </w:rPr>
              <w:t>The brief had no roster to complete it from; the BOJ Policy Board was added</w:t>
            </w:r>
          </w:p>
        </w:tc>
      </w:tr>
      <w:tr>
        <w:tc>
          <w:tcPr>
            <w:tcW w:type="dxa" w:w="3600"/>
            <w:shd w:val="clear" w:color="auto" w:fill="F2F2F2"/>
          </w:tcPr>
          <w:p>
            <w:pPr>
              <w:spacing w:before="40" w:after="40"/>
            </w:pPr>
            <w:r>
              <w:rPr>
                <w:b w:val="0"/>
                <w:sz w:val="19"/>
              </w:rPr>
              <w:t>Japan: two-month-old polling numbers</w:t>
            </w:r>
          </w:p>
        </w:tc>
        <w:tc>
          <w:tcPr>
            <w:tcW w:type="dxa" w:w="5328"/>
            <w:shd w:val="clear" w:color="auto" w:fill="F2F2F2"/>
          </w:tcPr>
          <w:p>
            <w:pPr>
              <w:spacing w:before="40" w:after="40"/>
            </w:pPr>
            <w:r>
              <w:rPr>
                <w:b w:val="0"/>
                <w:sz w:val="19"/>
              </w:rPr>
              <w:t>Poll dates are now checked before use, and an old poll is dropped rather than printed</w:t>
            </w:r>
          </w:p>
        </w:tc>
      </w:tr>
      <w:tr>
        <w:tc>
          <w:tcPr>
            <w:tcW w:type="dxa" w:w="3600"/>
          </w:tcPr>
          <w:p>
            <w:pPr>
              <w:spacing w:before="40" w:after="40"/>
            </w:pPr>
            <w:r>
              <w:rPr>
                <w:b w:val="0"/>
                <w:sz w:val="19"/>
              </w:rPr>
              <w:t>Australia: "annual, venue alternates 2026" in the calendar</w:t>
            </w:r>
          </w:p>
        </w:tc>
        <w:tc>
          <w:tcPr>
            <w:tcW w:type="dxa" w:w="5328"/>
          </w:tcPr>
          <w:p>
            <w:pPr>
              <w:spacing w:before="40" w:after="40"/>
            </w:pPr>
            <w:r>
              <w:rPr>
                <w:b w:val="0"/>
                <w:sz w:val="19"/>
              </w:rPr>
              <w:t>A description of how often an event recurs was being stamped as a date</w:t>
            </w:r>
          </w:p>
        </w:tc>
      </w:tr>
      <w:tr>
        <w:tc>
          <w:tcPr>
            <w:tcW w:type="dxa" w:w="3600"/>
            <w:shd w:val="clear" w:color="auto" w:fill="F2F2F2"/>
          </w:tcPr>
          <w:p>
            <w:pPr>
              <w:spacing w:before="40" w:after="40"/>
            </w:pPr>
            <w:r>
              <w:rPr>
                <w:b w:val="0"/>
                <w:sz w:val="19"/>
              </w:rPr>
              <w:t>Korea: a thin Upcoming section</w:t>
            </w:r>
          </w:p>
        </w:tc>
        <w:tc>
          <w:tcPr>
            <w:tcW w:type="dxa" w:w="5328"/>
            <w:shd w:val="clear" w:color="auto" w:fill="F2F2F2"/>
          </w:tcPr>
          <w:p>
            <w:pPr>
              <w:spacing w:before="40" w:after="40"/>
            </w:pPr>
            <w:r>
              <w:rPr>
                <w:b w:val="0"/>
                <w:sz w:val="19"/>
              </w:rPr>
              <w:t>The model now looks for dated events in the day's own reporting first</w:t>
            </w:r>
          </w:p>
        </w:tc>
      </w:tr>
      <w:tr>
        <w:tc>
          <w:tcPr>
            <w:tcW w:type="dxa" w:w="3600"/>
          </w:tcPr>
          <w:p>
            <w:pPr>
              <w:spacing w:before="40" w:after="40"/>
            </w:pPr>
            <w:r>
              <w:rPr>
                <w:b w:val="0"/>
                <w:sz w:val="19"/>
              </w:rPr>
              <w:t>Korea: length</w:t>
            </w:r>
          </w:p>
        </w:tc>
        <w:tc>
          <w:tcPr>
            <w:tcW w:type="dxa" w:w="5328"/>
          </w:tcPr>
          <w:p>
            <w:pPr>
              <w:spacing w:before="40" w:after="40"/>
            </w:pPr>
            <w:r>
              <w:rPr>
                <w:b w:val="0"/>
                <w:sz w:val="19"/>
              </w:rPr>
              <w:t>The band moved to 2,500-2,750 words, since quality mattered more than the cap</w:t>
            </w:r>
          </w:p>
        </w:tc>
      </w:tr>
    </w:tbl>
    <w:p>
      <w:pPr>
        <w:spacing w:after="40"/>
      </w:pPr>
    </w:p>
    <w:p>
      <w:r>
        <w:br w:type="page"/>
      </w:r>
    </w:p>
    <w:p>
      <w:pPr>
        <w:spacing w:before="320" w:after="80"/>
        <w:pBdr>
          <w:bottom w:val="single" w:sz="6" w:space="1" w:color="111111"/>
        </w:pBdr>
      </w:pPr>
      <w:r>
        <w:rPr>
          <w:b/>
          <w:i w:val="0"/>
          <w:color w:val="111111"/>
          <w:sz w:val="34"/>
        </w:rPr>
        <w:t>5.  The archive</w:t>
      </w:r>
    </w:p>
    <w:p>
      <w:pPr>
        <w:spacing w:before="0" w:after="160"/>
      </w:pPr>
      <w:r>
        <w:rPr>
          <w:b w:val="0"/>
          <w:i w:val="0"/>
          <w:color w:val="444444"/>
          <w:sz w:val="22"/>
        </w:rPr>
        <w:t>Every issue is published to a web archive with a PDF beside it, and an index lists them. The index was being destroyed on every run, in all four briefs, for months.</w:t>
      </w:r>
    </w:p>
    <w:p>
      <w:pPr>
        <w:spacing w:before="0" w:after="160"/>
      </w:pPr>
      <w:r>
        <w:rPr>
          <w:b w:val="0"/>
          <w:i w:val="0"/>
          <w:color w:val="444444"/>
          <w:sz w:val="21"/>
        </w:rPr>
        <w:t>The mechanism is worth understanding because it is the kind of fault that hides. The published folder is not kept in the code repository, and each run starts on a clean machine. So code that opened the index, found nothing, started an empty list, added today and saved it did exactly what it was written to do — and replaced a list of every past issue with a list of one. The deploy keeps files it is not publishing and overwrites the ones it is, so today's issue was always fine. Only the list was lost, and nothing reports a lost list.</w:t>
      </w:r>
    </w:p>
    <w:p>
      <w:pPr>
        <w:spacing w:before="120" w:after="200"/>
        <w:ind w:left="288"/>
        <w:pBdr>
          <w:left w:val="single" w:sz="12" w:space="6" w:color="111111"/>
        </w:pBdr>
      </w:pPr>
      <w:r>
        <w:rPr>
          <w:b/>
          <w:color w:val="111111"/>
          <w:sz w:val="20"/>
        </w:rPr>
        <w:t xml:space="preserve">The rule now:  </w:t>
      </w:r>
      <w:r>
        <w:rPr>
          <w:color w:val="444444"/>
          <w:sz w:val="21"/>
        </w:rPr>
        <w:t>Read the published copy first, and if that read fails, write nothing. Skipping the index costs one day of listing. Writing one built without the history costs every day before it.</w:t>
      </w:r>
    </w:p>
    <w:p>
      <w:pPr>
        <w:spacing w:before="0" w:after="160"/>
      </w:pPr>
      <w:r>
        <w:rPr>
          <w:b w:val="0"/>
          <w:i w:val="0"/>
          <w:color w:val="444444"/>
          <w:sz w:val="21"/>
        </w:rPr>
        <w:t>That held until Australia's web hosting turned out to be switched off. A request for a file that does not exist and a request to a site that is not running both answer the same way, so the guard read "this file does not exist yet" and wrote the one-day list anyway. It now asks for a file that must exist before believing either answer, and Australia's archive carries a checked-in floor of all fifteen published issues, so the history restores itself.</w:t>
      </w:r>
    </w:p>
    <w:tbl>
      <w:tblPr>
        <w:tblStyle w:val="TableGrid"/>
        <w:tblW w:type="auto" w:w="0"/>
        <w:jc w:val="left"/>
        <w:tblLook w:firstColumn="1" w:firstRow="1" w:lastColumn="0" w:lastRow="0" w:noHBand="0" w:noVBand="1" w:val="04A0"/>
      </w:tblPr>
      <w:tblGrid>
        <w:gridCol w:w="3135"/>
        <w:gridCol w:w="3135"/>
        <w:gridCol w:w="3135"/>
      </w:tblGrid>
      <w:tr>
        <w:tc>
          <w:tcPr>
            <w:tcW w:type="dxa" w:w="1872"/>
            <w:shd w:val="clear" w:color="auto" w:fill="111111"/>
          </w:tcPr>
          <w:p>
            <w:pPr>
              <w:spacing w:before="40" w:after="40"/>
            </w:pPr>
            <w:r>
              <w:rPr>
                <w:b/>
                <w:color w:val="FFFFFF"/>
                <w:sz w:val="18"/>
              </w:rPr>
              <w:t>Brief</w:t>
            </w:r>
          </w:p>
        </w:tc>
        <w:tc>
          <w:tcPr>
            <w:tcW w:type="dxa" w:w="2880"/>
            <w:shd w:val="clear" w:color="auto" w:fill="111111"/>
          </w:tcPr>
          <w:p>
            <w:pPr>
              <w:spacing w:before="40" w:after="40"/>
            </w:pPr>
            <w:r>
              <w:rPr>
                <w:b/>
                <w:color w:val="FFFFFF"/>
                <w:sz w:val="18"/>
              </w:rPr>
              <w:t>Archive index</w:t>
            </w:r>
          </w:p>
        </w:tc>
        <w:tc>
          <w:tcPr>
            <w:tcW w:type="dxa" w:w="4176"/>
            <w:shd w:val="clear" w:color="auto" w:fill="111111"/>
          </w:tcPr>
          <w:p>
            <w:pPr>
              <w:spacing w:before="40" w:after="40"/>
            </w:pPr>
            <w:r>
              <w:rPr>
                <w:b/>
                <w:color w:val="FFFFFF"/>
                <w:sz w:val="18"/>
              </w:rPr>
              <w:t>Note</w:t>
            </w:r>
          </w:p>
        </w:tc>
      </w:tr>
      <w:tr>
        <w:tc>
          <w:tcPr>
            <w:tcW w:type="dxa" w:w="1872"/>
          </w:tcPr>
          <w:p>
            <w:pPr>
              <w:spacing w:before="40" w:after="40"/>
            </w:pPr>
            <w:r>
              <w:rPr>
                <w:b w:val="0"/>
                <w:sz w:val="19"/>
              </w:rPr>
              <w:t>Korea</w:t>
            </w:r>
          </w:p>
        </w:tc>
        <w:tc>
          <w:tcPr>
            <w:tcW w:type="dxa" w:w="2880"/>
          </w:tcPr>
          <w:p>
            <w:pPr>
              <w:spacing w:before="40" w:after="40"/>
            </w:pPr>
            <w:r>
              <w:rPr>
                <w:b w:val="0"/>
                <w:sz w:val="19"/>
              </w:rPr>
              <w:t>170 issues</w:t>
            </w:r>
          </w:p>
        </w:tc>
        <w:tc>
          <w:tcPr>
            <w:tcW w:type="dxa" w:w="4176"/>
          </w:tcPr>
          <w:p>
            <w:pPr>
              <w:spacing w:before="40" w:after="40"/>
            </w:pPr>
            <w:r>
              <w:rPr>
                <w:b w:val="0"/>
                <w:sz w:val="19"/>
              </w:rPr>
              <w:t>Intact throughout</w:t>
            </w:r>
          </w:p>
        </w:tc>
      </w:tr>
      <w:tr>
        <w:tc>
          <w:tcPr>
            <w:tcW w:type="dxa" w:w="1872"/>
            <w:shd w:val="clear" w:color="auto" w:fill="F2F2F2"/>
          </w:tcPr>
          <w:p>
            <w:pPr>
              <w:spacing w:before="40" w:after="40"/>
            </w:pPr>
            <w:r>
              <w:rPr>
                <w:b w:val="0"/>
                <w:sz w:val="19"/>
              </w:rPr>
              <w:t>Japan</w:t>
            </w:r>
          </w:p>
        </w:tc>
        <w:tc>
          <w:tcPr>
            <w:tcW w:type="dxa" w:w="2880"/>
            <w:shd w:val="clear" w:color="auto" w:fill="F2F2F2"/>
          </w:tcPr>
          <w:p>
            <w:pPr>
              <w:spacing w:before="40" w:after="40"/>
            </w:pPr>
            <w:r>
              <w:rPr>
                <w:b w:val="0"/>
                <w:sz w:val="19"/>
              </w:rPr>
              <w:t>Intact</w:t>
            </w:r>
          </w:p>
        </w:tc>
        <w:tc>
          <w:tcPr>
            <w:tcW w:type="dxa" w:w="4176"/>
            <w:shd w:val="clear" w:color="auto" w:fill="F2F2F2"/>
          </w:tcPr>
          <w:p>
            <w:pPr>
              <w:spacing w:before="40" w:after="40"/>
            </w:pPr>
            <w:r>
              <w:rPr>
                <w:b w:val="0"/>
                <w:sz w:val="19"/>
              </w:rPr>
            </w:r>
          </w:p>
        </w:tc>
      </w:tr>
      <w:tr>
        <w:tc>
          <w:tcPr>
            <w:tcW w:type="dxa" w:w="1872"/>
          </w:tcPr>
          <w:p>
            <w:pPr>
              <w:spacing w:before="40" w:after="40"/>
            </w:pPr>
            <w:r>
              <w:rPr>
                <w:b w:val="0"/>
                <w:sz w:val="19"/>
              </w:rPr>
              <w:t>China</w:t>
            </w:r>
          </w:p>
        </w:tc>
        <w:tc>
          <w:tcPr>
            <w:tcW w:type="dxa" w:w="2880"/>
          </w:tcPr>
          <w:p>
            <w:pPr>
              <w:spacing w:before="40" w:after="40"/>
            </w:pPr>
            <w:r>
              <w:rPr>
                <w:b w:val="0"/>
                <w:sz w:val="19"/>
              </w:rPr>
              <w:t>Intact</w:t>
            </w:r>
          </w:p>
        </w:tc>
        <w:tc>
          <w:tcPr>
            <w:tcW w:type="dxa" w:w="4176"/>
          </w:tcPr>
          <w:p>
            <w:pPr>
              <w:spacing w:before="40" w:after="40"/>
            </w:pPr>
            <w:r>
              <w:rPr>
                <w:b w:val="0"/>
                <w:sz w:val="19"/>
              </w:rPr>
            </w:r>
          </w:p>
        </w:tc>
      </w:tr>
      <w:tr>
        <w:tc>
          <w:tcPr>
            <w:tcW w:type="dxa" w:w="1872"/>
            <w:shd w:val="clear" w:color="auto" w:fill="F2F2F2"/>
          </w:tcPr>
          <w:p>
            <w:pPr>
              <w:spacing w:before="40" w:after="40"/>
            </w:pPr>
            <w:r>
              <w:rPr>
                <w:b w:val="0"/>
                <w:sz w:val="19"/>
              </w:rPr>
              <w:t>Australia</w:t>
            </w:r>
          </w:p>
        </w:tc>
        <w:tc>
          <w:tcPr>
            <w:tcW w:type="dxa" w:w="2880"/>
            <w:shd w:val="clear" w:color="auto" w:fill="F2F2F2"/>
          </w:tcPr>
          <w:p>
            <w:pPr>
              <w:spacing w:before="40" w:after="40"/>
            </w:pPr>
            <w:r>
              <w:rPr>
                <w:b w:val="0"/>
                <w:sz w:val="19"/>
              </w:rPr>
              <w:t>Restored to 15</w:t>
            </w:r>
          </w:p>
        </w:tc>
        <w:tc>
          <w:tcPr>
            <w:tcW w:type="dxa" w:w="4176"/>
            <w:shd w:val="clear" w:color="auto" w:fill="F2F2F2"/>
          </w:tcPr>
          <w:p>
            <w:pPr>
              <w:spacing w:before="40" w:after="40"/>
            </w:pPr>
            <w:r>
              <w:rPr>
                <w:b w:val="0"/>
                <w:sz w:val="19"/>
              </w:rPr>
              <w:t>Web hosting was off; now on</w:t>
            </w:r>
          </w:p>
        </w:tc>
      </w:tr>
    </w:tbl>
    <w:p>
      <w:pPr>
        <w:spacing w:after="40"/>
      </w:pPr>
    </w:p>
    <w:p>
      <w:r>
        <w:br w:type="page"/>
      </w:r>
    </w:p>
    <w:p>
      <w:pPr>
        <w:spacing w:before="320" w:after="80"/>
        <w:pBdr>
          <w:bottom w:val="single" w:sz="6" w:space="1" w:color="111111"/>
        </w:pBdr>
      </w:pPr>
      <w:r>
        <w:rPr>
          <w:b/>
          <w:i w:val="0"/>
          <w:color w:val="111111"/>
          <w:sz w:val="34"/>
        </w:rPr>
        <w:t>6.  Cost</w:t>
      </w:r>
    </w:p>
    <w:p>
      <w:pPr>
        <w:spacing w:before="0" w:after="160"/>
      </w:pPr>
      <w:r>
        <w:rPr>
          <w:b w:val="0"/>
          <w:i w:val="0"/>
          <w:color w:val="444444"/>
          <w:sz w:val="22"/>
        </w:rPr>
        <w:t>Until last week nothing recorded what any of this cost. The model charges by the amount of text in and out, which varies daily with how much news there is, so an estimate made once is wrong by the following week.</w:t>
      </w:r>
    </w:p>
    <w:p>
      <w:pPr>
        <w:spacing w:before="0" w:after="160"/>
      </w:pPr>
      <w:r>
        <w:rPr>
          <w:b w:val="0"/>
          <w:i w:val="0"/>
          <w:color w:val="444444"/>
          <w:sz w:val="21"/>
        </w:rPr>
        <w:t>Each run now writes its own token counts to a file that is committed, not left on the machine — job logs expire and would take the spend history with them. A weekly sheet collects every edition, including the Middle East brief, and needs no credentials to do it.</w:t>
      </w:r>
    </w:p>
    <w:p>
      <w:pPr>
        <w:spacing w:before="0" w:after="120"/>
      </w:pPr>
      <w:r>
        <w:rPr>
          <w:b w:val="0"/>
          <w:i w:val="0"/>
          <w:color w:val="444444"/>
          <w:sz w:val="21"/>
        </w:rPr>
        <w:t>The figures below are measured, not estimated, and they are further apart than expected. Cost tracks how much news there is to read and how much the brief writes about it, so the wider editions cost several times the narrower ones.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016"/>
            <w:shd w:val="clear" w:color="auto" w:fill="111111"/>
          </w:tcPr>
          <w:p>
            <w:pPr>
              <w:spacing w:before="40" w:after="40"/>
            </w:pPr>
            <w:r>
              <w:rPr>
                <w:b/>
                <w:color w:val="FFFFFF"/>
                <w:sz w:val="18"/>
              </w:rPr>
              <w:t>Edition</w:t>
            </w:r>
          </w:p>
        </w:tc>
        <w:tc>
          <w:tcPr>
            <w:tcW w:type="dxa" w:w="1584"/>
            <w:shd w:val="clear" w:color="auto" w:fill="111111"/>
          </w:tcPr>
          <w:p>
            <w:pPr>
              <w:spacing w:before="40" w:after="40"/>
            </w:pPr>
            <w:r>
              <w:rPr>
                <w:b/>
                <w:color w:val="FFFFFF"/>
                <w:sz w:val="18"/>
              </w:rPr>
              <w:t>Per issue</w:t>
            </w:r>
          </w:p>
        </w:tc>
        <w:tc>
          <w:tcPr>
            <w:tcW w:type="dxa" w:w="2016"/>
            <w:shd w:val="clear" w:color="auto" w:fill="111111"/>
          </w:tcPr>
          <w:p>
            <w:pPr>
              <w:spacing w:before="40" w:after="40"/>
            </w:pPr>
            <w:r>
              <w:rPr>
                <w:b/>
                <w:color w:val="FFFFFF"/>
                <w:sz w:val="18"/>
              </w:rPr>
              <w:t>Runs measured</w:t>
            </w:r>
          </w:p>
        </w:tc>
        <w:tc>
          <w:tcPr>
            <w:tcW w:type="dxa" w:w="3312"/>
            <w:shd w:val="clear" w:color="auto" w:fill="111111"/>
          </w:tcPr>
          <w:p>
            <w:pPr>
              <w:spacing w:before="40" w:after="40"/>
            </w:pPr>
            <w:r>
              <w:rPr>
                <w:b/>
                <w:color w:val="FFFFFF"/>
                <w:sz w:val="18"/>
              </w:rPr>
              <w:t>Implied monthly</w:t>
            </w:r>
          </w:p>
        </w:tc>
      </w:tr>
      <w:tr>
        <w:tc>
          <w:tcPr>
            <w:tcW w:type="dxa" w:w="2016"/>
          </w:tcPr>
          <w:p>
            <w:pPr>
              <w:spacing w:before="40" w:after="40"/>
            </w:pPr>
            <w:r>
              <w:rPr>
                <w:b w:val="0"/>
                <w:sz w:val="19"/>
              </w:rPr>
              <w:t>Australia</w:t>
            </w:r>
          </w:p>
        </w:tc>
        <w:tc>
          <w:tcPr>
            <w:tcW w:type="dxa" w:w="1584"/>
          </w:tcPr>
          <w:p>
            <w:pPr>
              <w:spacing w:before="40" w:after="40"/>
            </w:pPr>
            <w:r>
              <w:rPr>
                <w:b w:val="0"/>
                <w:sz w:val="19"/>
              </w:rPr>
              <w:t>$1.55</w:t>
            </w:r>
          </w:p>
        </w:tc>
        <w:tc>
          <w:tcPr>
            <w:tcW w:type="dxa" w:w="2016"/>
          </w:tcPr>
          <w:p>
            <w:pPr>
              <w:spacing w:before="40" w:after="40"/>
            </w:pPr>
            <w:r>
              <w:rPr>
                <w:b w:val="0"/>
                <w:sz w:val="19"/>
              </w:rPr>
              <w:t>12</w:t>
            </w:r>
          </w:p>
        </w:tc>
        <w:tc>
          <w:tcPr>
            <w:tcW w:type="dxa" w:w="3312"/>
          </w:tcPr>
          <w:p>
            <w:pPr>
              <w:spacing w:before="40" w:after="40"/>
            </w:pPr>
            <w:r>
              <w:rPr>
                <w:b w:val="0"/>
                <w:sz w:val="19"/>
              </w:rPr>
              <w:t>About $34</w:t>
            </w:r>
          </w:p>
        </w:tc>
      </w:tr>
      <w:tr>
        <w:tc>
          <w:tcPr>
            <w:tcW w:type="dxa" w:w="2016"/>
            <w:shd w:val="clear" w:color="auto" w:fill="F2F2F2"/>
          </w:tcPr>
          <w:p>
            <w:pPr>
              <w:spacing w:before="40" w:after="40"/>
            </w:pPr>
            <w:r>
              <w:rPr>
                <w:b w:val="0"/>
                <w:sz w:val="19"/>
              </w:rPr>
              <w:t>China</w:t>
            </w:r>
          </w:p>
        </w:tc>
        <w:tc>
          <w:tcPr>
            <w:tcW w:type="dxa" w:w="1584"/>
            <w:shd w:val="clear" w:color="auto" w:fill="F2F2F2"/>
          </w:tcPr>
          <w:p>
            <w:pPr>
              <w:spacing w:before="40" w:after="40"/>
            </w:pPr>
            <w:r>
              <w:rPr>
                <w:b w:val="0"/>
                <w:sz w:val="19"/>
              </w:rPr>
              <w:t>$0.90</w:t>
            </w:r>
          </w:p>
        </w:tc>
        <w:tc>
          <w:tcPr>
            <w:tcW w:type="dxa" w:w="2016"/>
            <w:shd w:val="clear" w:color="auto" w:fill="F2F2F2"/>
          </w:tcPr>
          <w:p>
            <w:pPr>
              <w:spacing w:before="40" w:after="40"/>
            </w:pPr>
            <w:r>
              <w:rPr>
                <w:b w:val="0"/>
                <w:sz w:val="19"/>
              </w:rPr>
              <w:t>14</w:t>
            </w:r>
          </w:p>
        </w:tc>
        <w:tc>
          <w:tcPr>
            <w:tcW w:type="dxa" w:w="3312"/>
            <w:shd w:val="clear" w:color="auto" w:fill="F2F2F2"/>
          </w:tcPr>
          <w:p>
            <w:pPr>
              <w:spacing w:before="40" w:after="40"/>
            </w:pPr>
            <w:r>
              <w:rPr>
                <w:b w:val="0"/>
                <w:sz w:val="19"/>
              </w:rPr>
              <w:t>About $20</w:t>
            </w:r>
          </w:p>
        </w:tc>
      </w:tr>
      <w:tr>
        <w:tc>
          <w:tcPr>
            <w:tcW w:type="dxa" w:w="2016"/>
          </w:tcPr>
          <w:p>
            <w:pPr>
              <w:spacing w:before="40" w:after="40"/>
            </w:pPr>
            <w:r>
              <w:rPr>
                <w:b w:val="0"/>
                <w:sz w:val="19"/>
              </w:rPr>
              <w:t>Middle East</w:t>
            </w:r>
          </w:p>
        </w:tc>
        <w:tc>
          <w:tcPr>
            <w:tcW w:type="dxa" w:w="1584"/>
          </w:tcPr>
          <w:p>
            <w:pPr>
              <w:spacing w:before="40" w:after="40"/>
            </w:pPr>
            <w:r>
              <w:rPr>
                <w:b w:val="0"/>
                <w:sz w:val="19"/>
              </w:rPr>
              <w:t>$0.66</w:t>
            </w:r>
          </w:p>
        </w:tc>
        <w:tc>
          <w:tcPr>
            <w:tcW w:type="dxa" w:w="2016"/>
          </w:tcPr>
          <w:p>
            <w:pPr>
              <w:spacing w:before="40" w:after="40"/>
            </w:pPr>
            <w:r>
              <w:rPr>
                <w:b w:val="0"/>
                <w:sz w:val="19"/>
              </w:rPr>
              <w:t>4</w:t>
            </w:r>
          </w:p>
        </w:tc>
        <w:tc>
          <w:tcPr>
            <w:tcW w:type="dxa" w:w="3312"/>
          </w:tcPr>
          <w:p>
            <w:pPr>
              <w:spacing w:before="40" w:after="40"/>
            </w:pPr>
            <w:r>
              <w:rPr>
                <w:b w:val="0"/>
                <w:sz w:val="19"/>
              </w:rPr>
              <w:t>About $14</w:t>
            </w:r>
          </w:p>
        </w:tc>
      </w:tr>
      <w:tr>
        <w:tc>
          <w:tcPr>
            <w:tcW w:type="dxa" w:w="2016"/>
            <w:shd w:val="clear" w:color="auto" w:fill="F2F2F2"/>
          </w:tcPr>
          <w:p>
            <w:pPr>
              <w:spacing w:before="40" w:after="40"/>
            </w:pPr>
            <w:r>
              <w:rPr>
                <w:b w:val="0"/>
                <w:sz w:val="19"/>
              </w:rPr>
              <w:t>Japan</w:t>
            </w:r>
          </w:p>
        </w:tc>
        <w:tc>
          <w:tcPr>
            <w:tcW w:type="dxa" w:w="1584"/>
            <w:shd w:val="clear" w:color="auto" w:fill="F2F2F2"/>
          </w:tcPr>
          <w:p>
            <w:pPr>
              <w:spacing w:before="40" w:after="40"/>
            </w:pPr>
            <w:r>
              <w:rPr>
                <w:b w:val="0"/>
                <w:sz w:val="19"/>
              </w:rPr>
              <w:t>$0.40</w:t>
            </w:r>
          </w:p>
        </w:tc>
        <w:tc>
          <w:tcPr>
            <w:tcW w:type="dxa" w:w="2016"/>
            <w:shd w:val="clear" w:color="auto" w:fill="F2F2F2"/>
          </w:tcPr>
          <w:p>
            <w:pPr>
              <w:spacing w:before="40" w:after="40"/>
            </w:pPr>
            <w:r>
              <w:rPr>
                <w:b w:val="0"/>
                <w:sz w:val="19"/>
              </w:rPr>
              <w:t>1</w:t>
            </w:r>
          </w:p>
        </w:tc>
        <w:tc>
          <w:tcPr>
            <w:tcW w:type="dxa" w:w="3312"/>
            <w:shd w:val="clear" w:color="auto" w:fill="F2F2F2"/>
          </w:tcPr>
          <w:p>
            <w:pPr>
              <w:spacing w:before="40" w:after="40"/>
            </w:pPr>
            <w:r>
              <w:rPr>
                <w:b w:val="0"/>
                <w:sz w:val="19"/>
              </w:rPr>
              <w:t>About $9</w:t>
            </w:r>
          </w:p>
        </w:tc>
      </w:tr>
      <w:tr>
        <w:tc>
          <w:tcPr>
            <w:tcW w:type="dxa" w:w="2016"/>
          </w:tcPr>
          <w:p>
            <w:pPr>
              <w:spacing w:before="40" w:after="40"/>
            </w:pPr>
            <w:r>
              <w:rPr>
                <w:b w:val="0"/>
                <w:sz w:val="19"/>
              </w:rPr>
              <w:t>Korea</w:t>
            </w:r>
          </w:p>
        </w:tc>
        <w:tc>
          <w:tcPr>
            <w:tcW w:type="dxa" w:w="1584"/>
          </w:tcPr>
          <w:p>
            <w:pPr>
              <w:spacing w:before="40" w:after="40"/>
            </w:pPr>
            <w:r>
              <w:rPr>
                <w:b/>
                <w:sz w:val="19"/>
              </w:rPr>
              <w:t>not recording</w:t>
            </w:r>
          </w:p>
        </w:tc>
        <w:tc>
          <w:tcPr>
            <w:tcW w:type="dxa" w:w="2016"/>
          </w:tcPr>
          <w:p>
            <w:pPr>
              <w:spacing w:before="40" w:after="40"/>
            </w:pPr>
            <w:r>
              <w:rPr>
                <w:b w:val="0"/>
                <w:sz w:val="19"/>
              </w:rPr>
              <w:t>0</w:t>
            </w:r>
          </w:p>
        </w:tc>
        <w:tc>
          <w:tcPr>
            <w:tcW w:type="dxa" w:w="3312"/>
          </w:tcPr>
          <w:p>
            <w:pPr>
              <w:spacing w:before="40" w:after="40"/>
            </w:pPr>
            <w:r>
              <w:rPr>
                <w:b/>
                <w:sz w:val="19"/>
              </w:rPr>
              <w:t>unknown</w:t>
            </w:r>
          </w:p>
        </w:tc>
      </w:tr>
      <w:tr>
        <w:tc>
          <w:tcPr>
            <w:tcW w:type="dxa" w:w="2016"/>
            <w:shd w:val="clear" w:color="auto" w:fill="F2F2F2"/>
          </w:tcPr>
          <w:p>
            <w:pPr>
              <w:spacing w:before="40" w:after="40"/>
            </w:pPr>
            <w:r>
              <w:rPr>
                <w:b/>
                <w:sz w:val="19"/>
              </w:rPr>
              <w:t>Four measured editions</w:t>
            </w:r>
          </w:p>
        </w:tc>
        <w:tc>
          <w:tcPr>
            <w:tcW w:type="dxa" w:w="1584"/>
            <w:shd w:val="clear" w:color="auto" w:fill="F2F2F2"/>
          </w:tcPr>
          <w:p>
            <w:pPr>
              <w:spacing w:before="40" w:after="40"/>
            </w:pPr>
            <w:r>
              <w:rPr>
                <w:b w:val="0"/>
                <w:sz w:val="19"/>
              </w:rPr>
            </w:r>
          </w:p>
        </w:tc>
        <w:tc>
          <w:tcPr>
            <w:tcW w:type="dxa" w:w="2016"/>
            <w:shd w:val="clear" w:color="auto" w:fill="F2F2F2"/>
          </w:tcPr>
          <w:p>
            <w:pPr>
              <w:spacing w:before="40" w:after="40"/>
            </w:pPr>
            <w:r>
              <w:rPr>
                <w:b w:val="0"/>
                <w:sz w:val="19"/>
              </w:rPr>
            </w:r>
          </w:p>
        </w:tc>
        <w:tc>
          <w:tcPr>
            <w:tcW w:type="dxa" w:w="3312"/>
            <w:shd w:val="clear" w:color="auto" w:fill="F2F2F2"/>
          </w:tcPr>
          <w:p>
            <w:pPr>
              <w:spacing w:before="40" w:after="40"/>
            </w:pPr>
            <w:r>
              <w:rPr>
                <w:b/>
                <w:sz w:val="19"/>
              </w:rPr>
              <w:t>About $77 a month</w:t>
            </w:r>
          </w:p>
        </w:tc>
      </w:tr>
    </w:tbl>
    <w:p>
      <w:pPr>
        <w:spacing w:after="40"/>
      </w:pPr>
    </w:p>
    <w:p>
      <w:pPr>
        <w:spacing w:before="120" w:after="200"/>
        <w:ind w:left="288"/>
        <w:pBdr>
          <w:left w:val="single" w:sz="12" w:space="6" w:color="111111"/>
        </w:pBdr>
      </w:pPr>
      <w:r>
        <w:rPr>
          <w:b/>
          <w:color w:val="111111"/>
          <w:sz w:val="20"/>
        </w:rPr>
        <w:t xml:space="preserve">Two caveats, both real:  </w:t>
      </w:r>
      <w:r>
        <w:rPr>
          <w:color w:val="444444"/>
          <w:sz w:val="21"/>
        </w:rPr>
        <w:t>The samples are short — Japan's figure rests on a single run — so treat the monthly column as an extrapolation that will become a measurement in a month. And Korea is not recording at all: the code is in place and the file has never reached the repository, which is being chased. Everything else here — the hosting, the scheduling, the email, the archive — is free.</w:t>
      </w:r>
    </w:p>
    <w:p>
      <w:r>
        <w:br w:type="page"/>
      </w:r>
    </w:p>
    <w:p>
      <w:pPr>
        <w:spacing w:before="320" w:after="80"/>
        <w:pBdr>
          <w:bottom w:val="single" w:sz="6" w:space="1" w:color="111111"/>
        </w:pBdr>
      </w:pPr>
      <w:r>
        <w:rPr>
          <w:b/>
          <w:i w:val="0"/>
          <w:color w:val="111111"/>
          <w:sz w:val="34"/>
        </w:rPr>
        <w:t>Still open</w:t>
      </w:r>
    </w:p>
    <w:p>
      <w:pPr>
        <w:spacing w:before="0" w:after="160"/>
      </w:pPr>
      <w:r>
        <w:rPr>
          <w:b w:val="0"/>
          <w:i w:val="0"/>
          <w:color w:val="444444"/>
          <w:sz w:val="22"/>
        </w:rPr>
        <w:t>Honest list, in the order I would take them.</w:t>
      </w:r>
    </w:p>
    <w:tbl>
      <w:tblPr>
        <w:tblStyle w:val="TableGrid"/>
        <w:tblW w:type="auto" w:w="0"/>
        <w:jc w:val="left"/>
        <w:tblLook w:firstColumn="1" w:firstRow="1" w:lastColumn="0" w:lastRow="0" w:noHBand="0" w:noVBand="1" w:val="04A0"/>
      </w:tblPr>
      <w:tblGrid>
        <w:gridCol w:w="3135"/>
        <w:gridCol w:w="3135"/>
        <w:gridCol w:w="3135"/>
      </w:tblGrid>
      <w:tr>
        <w:tc>
          <w:tcPr>
            <w:tcW w:type="dxa" w:w="576"/>
            <w:shd w:val="clear" w:color="auto" w:fill="111111"/>
          </w:tcPr>
          <w:p>
            <w:pPr>
              <w:spacing w:before="40" w:after="40"/>
            </w:pPr>
            <w:r>
              <w:rPr>
                <w:b/>
                <w:color w:val="FFFFFF"/>
                <w:sz w:val="18"/>
              </w:rPr>
            </w:r>
          </w:p>
        </w:tc>
        <w:tc>
          <w:tcPr>
            <w:tcW w:type="dxa" w:w="3168"/>
            <w:shd w:val="clear" w:color="auto" w:fill="111111"/>
          </w:tcPr>
          <w:p>
            <w:pPr>
              <w:spacing w:before="40" w:after="40"/>
            </w:pPr>
            <w:r>
              <w:rPr>
                <w:b/>
                <w:color w:val="FFFFFF"/>
                <w:sz w:val="18"/>
              </w:rPr>
              <w:t>What</w:t>
            </w:r>
          </w:p>
        </w:tc>
        <w:tc>
          <w:tcPr>
            <w:tcW w:type="dxa" w:w="5184"/>
            <w:shd w:val="clear" w:color="auto" w:fill="111111"/>
          </w:tcPr>
          <w:p>
            <w:pPr>
              <w:spacing w:before="40" w:after="40"/>
            </w:pPr>
            <w:r>
              <w:rPr>
                <w:b/>
                <w:color w:val="FFFFFF"/>
                <w:sz w:val="18"/>
              </w:rPr>
              <w:t>Why it matters</w:t>
            </w:r>
          </w:p>
        </w:tc>
      </w:tr>
      <w:tr>
        <w:tc>
          <w:tcPr>
            <w:tcW w:type="dxa" w:w="576"/>
          </w:tcPr>
          <w:p>
            <w:pPr>
              <w:spacing w:before="40" w:after="40"/>
            </w:pPr>
            <w:r>
              <w:rPr>
                <w:b/>
                <w:sz w:val="19"/>
              </w:rPr>
              <w:t>1</w:t>
            </w:r>
          </w:p>
        </w:tc>
        <w:tc>
          <w:tcPr>
            <w:tcW w:type="dxa" w:w="3168"/>
          </w:tcPr>
          <w:p>
            <w:pPr>
              <w:spacing w:before="40" w:after="40"/>
            </w:pPr>
            <w:r>
              <w:rPr>
                <w:b w:val="0"/>
                <w:sz w:val="19"/>
              </w:rPr>
              <w:t>Japan's sources depend on a search engine</w:t>
            </w:r>
          </w:p>
        </w:tc>
        <w:tc>
          <w:tcPr>
            <w:tcW w:type="dxa" w:w="5184"/>
          </w:tcPr>
          <w:p>
            <w:pPr>
              <w:spacing w:before="40" w:after="40"/>
            </w:pPr>
            <w:r>
              <w:rPr>
                <w:b w:val="0"/>
                <w:sz w:val="19"/>
              </w:rPr>
              <w:t>86 of 116 feeds have no publisher feed behind them, including almost all think-tank and academic sources. One change upstream takes most of two tiers at once, silently.</w:t>
            </w:r>
          </w:p>
        </w:tc>
      </w:tr>
      <w:tr>
        <w:tc>
          <w:tcPr>
            <w:tcW w:type="dxa" w:w="576"/>
            <w:shd w:val="clear" w:color="auto" w:fill="F2F2F2"/>
          </w:tcPr>
          <w:p>
            <w:pPr>
              <w:spacing w:before="40" w:after="40"/>
            </w:pPr>
            <w:r>
              <w:rPr>
                <w:b/>
                <w:sz w:val="19"/>
              </w:rPr>
              <w:t>2</w:t>
            </w:r>
          </w:p>
        </w:tc>
        <w:tc>
          <w:tcPr>
            <w:tcW w:type="dxa" w:w="3168"/>
            <w:shd w:val="clear" w:color="auto" w:fill="F2F2F2"/>
          </w:tcPr>
          <w:p>
            <w:pPr>
              <w:spacing w:before="40" w:after="40"/>
            </w:pPr>
            <w:r>
              <w:rPr>
                <w:b w:val="0"/>
                <w:sz w:val="19"/>
              </w:rPr>
              <w:t>Two Japanese dailies have been silent for two months</w:t>
            </w:r>
          </w:p>
        </w:tc>
        <w:tc>
          <w:tcPr>
            <w:tcW w:type="dxa" w:w="5184"/>
            <w:shd w:val="clear" w:color="auto" w:fill="F2F2F2"/>
          </w:tcPr>
          <w:p>
            <w:pPr>
              <w:spacing w:before="40" w:after="40"/>
            </w:pPr>
            <w:r>
              <w:rPr>
                <w:b w:val="0"/>
                <w:sz w:val="19"/>
              </w:rPr>
              <w:t>Mainichi and Jiji have not appeared since July. A source that stops delivering does not announce it.</w:t>
            </w:r>
          </w:p>
        </w:tc>
      </w:tr>
      <w:tr>
        <w:tc>
          <w:tcPr>
            <w:tcW w:type="dxa" w:w="576"/>
          </w:tcPr>
          <w:p>
            <w:pPr>
              <w:spacing w:before="40" w:after="40"/>
            </w:pPr>
            <w:r>
              <w:rPr>
                <w:b/>
                <w:sz w:val="19"/>
              </w:rPr>
              <w:t>3</w:t>
            </w:r>
          </w:p>
        </w:tc>
        <w:tc>
          <w:tcPr>
            <w:tcW w:type="dxa" w:w="3168"/>
          </w:tcPr>
          <w:p>
            <w:pPr>
              <w:spacing w:before="40" w:after="40"/>
            </w:pPr>
            <w:r>
              <w:rPr>
                <w:b w:val="0"/>
                <w:sz w:val="19"/>
              </w:rPr>
              <w:t>The Middle East brief's once-a-day guard rides a 40 MB file</w:t>
            </w:r>
          </w:p>
        </w:tc>
        <w:tc>
          <w:tcPr>
            <w:tcW w:type="dxa" w:w="5184"/>
          </w:tcPr>
          <w:p>
            <w:pPr>
              <w:spacing w:before="40" w:after="40"/>
            </w:pPr>
            <w:r>
              <w:rPr>
                <w:b w:val="0"/>
                <w:sz w:val="19"/>
              </w:rPr>
              <w:t>It works, but the record of "already sent" is carried by a large binary push with no retry. The other four now use a small marker instead.</w:t>
            </w:r>
          </w:p>
        </w:tc>
      </w:tr>
      <w:tr>
        <w:tc>
          <w:tcPr>
            <w:tcW w:type="dxa" w:w="576"/>
            <w:shd w:val="clear" w:color="auto" w:fill="F2F2F2"/>
          </w:tcPr>
          <w:p>
            <w:pPr>
              <w:spacing w:before="40" w:after="40"/>
            </w:pPr>
            <w:r>
              <w:rPr>
                <w:b/>
                <w:sz w:val="19"/>
              </w:rPr>
              <w:t>4</w:t>
            </w:r>
          </w:p>
        </w:tc>
        <w:tc>
          <w:tcPr>
            <w:tcW w:type="dxa" w:w="3168"/>
            <w:shd w:val="clear" w:color="auto" w:fill="F2F2F2"/>
          </w:tcPr>
          <w:p>
            <w:pPr>
              <w:spacing w:before="40" w:after="40"/>
            </w:pPr>
            <w:r>
              <w:rPr>
                <w:b w:val="0"/>
                <w:sz w:val="19"/>
              </w:rPr>
              <w:t>Australia's schedule</w:t>
            </w:r>
          </w:p>
        </w:tc>
        <w:tc>
          <w:tcPr>
            <w:tcW w:type="dxa" w:w="5184"/>
            <w:shd w:val="clear" w:color="auto" w:fill="F2F2F2"/>
          </w:tcPr>
          <w:p>
            <w:pPr>
              <w:spacing w:before="40" w:after="40"/>
            </w:pPr>
            <w:r>
              <w:rPr>
                <w:b w:val="0"/>
                <w:sz w:val="19"/>
              </w:rPr>
              <w:t>It delivers at 6 AM, not 7, until its external scheduler is repointed. The order matters: move the schedule first, then the floor.</w:t>
            </w:r>
          </w:p>
        </w:tc>
      </w:tr>
      <w:tr>
        <w:tc>
          <w:tcPr>
            <w:tcW w:type="dxa" w:w="576"/>
          </w:tcPr>
          <w:p>
            <w:pPr>
              <w:spacing w:before="40" w:after="40"/>
            </w:pPr>
            <w:r>
              <w:rPr>
                <w:b/>
                <w:sz w:val="19"/>
              </w:rPr>
              <w:t>5</w:t>
            </w:r>
          </w:p>
        </w:tc>
        <w:tc>
          <w:tcPr>
            <w:tcW w:type="dxa" w:w="3168"/>
          </w:tcPr>
          <w:p>
            <w:pPr>
              <w:spacing w:before="40" w:after="40"/>
            </w:pPr>
            <w:r>
              <w:rPr>
                <w:b w:val="0"/>
                <w:sz w:val="19"/>
              </w:rPr>
              <w:t>Japan and China have no weekly</w:t>
            </w:r>
          </w:p>
        </w:tc>
        <w:tc>
          <w:tcPr>
            <w:tcW w:type="dxa" w:w="5184"/>
          </w:tcPr>
          <w:p>
            <w:pPr>
              <w:spacing w:before="40" w:after="40"/>
            </w:pPr>
            <w:r>
              <w:rPr>
                <w:b w:val="0"/>
                <w:sz w:val="19"/>
              </w:rPr>
              <w:t>Korea and Australia do. Building one is a synthesis job, not a formatting job.</w:t>
            </w:r>
          </w:p>
        </w:tc>
      </w:tr>
    </w:tbl>
    <w:p>
      <w:pPr>
        <w:spacing w:after="40"/>
      </w:pPr>
    </w:p>
    <w:p>
      <w:r>
        <w:br w:type="page"/>
      </w:r>
    </w:p>
    <w:p>
      <w:pPr>
        <w:spacing w:before="1000"/>
        <w:jc w:val="center"/>
      </w:pPr>
      <w:r>
        <w:rPr>
          <w:b/>
          <w:color w:val="111111"/>
          <w:sz w:val="24"/>
        </w:rPr>
        <w:t>CSIS Daily Briefs</w:t>
      </w:r>
    </w:p>
    <w:p>
      <w:pPr>
        <w:spacing w:after="400"/>
        <w:jc w:val="center"/>
      </w:pPr>
      <w:r>
        <w:rPr>
          <w:color w:val="444444"/>
          <w:sz w:val="22"/>
        </w:rPr>
        <w:t>Korea  ·  Japan  ·  China  ·  Australia  ·  Middle East</w:t>
      </w:r>
    </w:p>
    <w:p>
      <w:pPr>
        <w:jc w:val="center"/>
      </w:pPr>
      <w:r>
        <w:rPr>
          <w:color w:val="808080"/>
          <w:sz w:val="20"/>
        </w:rPr>
        <w:t>Prepared by Andy Lim  ·  September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