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testing replacement</w:t>
      </w:r>
      <w:r>
        <w:drawing>
          <wp:inline distT="0" distB="0" distL="0" distR="0">
            <wp:extent cx="2352675" cy="23431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4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  <m:oMathPara>
        <m:oMathParaPr>
          <m:jc m:val="left"/>
        </m:oMathParaPr>
        <m:oMath>
          <m:rad>
            <m:radPr>
              <m:degHide m:val="on"/>
            </m:radPr>
            <m:deg/>
            <m:e>
              <m:sSup>
                <m:e>
                  <m:r>
                    <m:t>a</m:t>
                  </m:r>
                </m:e>
                <m:sup>
                  <m:r>
                    <m:t>3</m:t>
                  </m:r>
                </m:sup>
              </m:sSup>
            </m:e>
          </m:rad>
        </m:oMath>
      </m:oMathPara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