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Budget Teko pour un mois de tests</w:t>
      </w:r>
    </w:p>
    <w:p>
      <w:pPr>
        <w:pStyle w:val="Subtitle"/>
      </w:pPr>
      <w:r>
        <w:t>Alpha Android à Libreville tarifs du 22 octobre 2026</w:t>
      </w:r>
    </w:p>
    <w:p>
      <w:r>
        <w:rPr>
          <w:b w:val="0"/>
        </w:rPr>
        <w:t>Prévoir 90 000 FCFA pour les services du premier mois. Le calcul atteint 88 759 FCFA, dont une provision de 30 % pour taxes, change et écarts de prix. Les prestations humaines et l’audit indépendant restent à chiffrer séparément.</w:t>
      </w:r>
    </w:p>
    <w:p>
      <w:pPr>
        <w:pStyle w:val="Heading1"/>
      </w:pPr>
      <w:r>
        <w:rPr>
          <w:b w:val="0"/>
        </w:rPr>
        <w:t>Hypothèses validées</w:t>
      </w:r>
    </w:p>
    <w:p>
      <w:r>
        <w:rPr>
          <w:b w:val="0"/>
        </w:rPr>
        <w:t>Dix chauffeurs Android, cent passagers invités et 500 SMS sur 30 jours, renvois et essais compris. Deux applications, cash uniquement. Coût total du mois, abonnements inclus ; Google Play déjà payé et stockage conservé chez Supabase.</w:t>
      </w:r>
    </w:p>
    <w:p>
      <w:pPr>
        <w:pStyle w:val="Heading1"/>
      </w:pPr>
      <w:r>
        <w:rPr>
          <w:b w:val="0"/>
        </w:rPr>
        <w:t>Services et décaissements du premier mois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6408"/>
        <w:gridCol w:w="1728"/>
      </w:tblGrid>
      <w:tr>
        <w:trPr>
          <w:tblHeader/>
          <w:cantSplit/>
        </w:trPr>
        <w:tc>
          <w:tcPr>
            <w:tcW w:type="dxa" w:w="2232"/>
            <w:vAlign w:val="center"/>
            <w:tcMar>
              <w:top w:w="70" w:type="dxa"/>
              <w:bottom w:w="70" w:type="dxa"/>
              <w:left w:w="100" w:type="dxa"/>
              <w:right w:w="100" w:type="dxa"/>
            </w:tcMar>
            <w:shd w:fill="17324D"/>
          </w:tcPr>
          <w:p>
            <w:pPr>
              <w:spacing w:after="0" w:before="0" w:line="252" w:lineRule="auto"/>
              <w:jc w:val="left"/>
            </w:pPr>
            <w:r>
              <w:rPr>
                <w:b/>
                <w:color w:val="FFFFFF"/>
                <w:sz w:val="20"/>
              </w:rPr>
              <w:t>Poste</w:t>
            </w:r>
          </w:p>
        </w:tc>
        <w:tc>
          <w:tcPr>
            <w:tcW w:type="dxa" w:w="6408"/>
            <w:vAlign w:val="center"/>
            <w:tcMar>
              <w:top w:w="70" w:type="dxa"/>
              <w:bottom w:w="70" w:type="dxa"/>
              <w:left w:w="100" w:type="dxa"/>
              <w:right w:w="100" w:type="dxa"/>
            </w:tcMar>
            <w:shd w:fill="17324D"/>
          </w:tcPr>
          <w:p>
            <w:pPr>
              <w:spacing w:after="0" w:before="0" w:line="252" w:lineRule="auto"/>
              <w:jc w:val="left"/>
            </w:pPr>
            <w:r>
              <w:rPr>
                <w:b/>
                <w:color w:val="FFFFFF"/>
                <w:sz w:val="20"/>
              </w:rPr>
              <w:t>Base du chiffrage</w:t>
            </w:r>
          </w:p>
        </w:tc>
        <w:tc>
          <w:tcPr>
            <w:tcW w:type="dxa" w:w="1728"/>
            <w:vAlign w:val="center"/>
            <w:tcMar>
              <w:top w:w="70" w:type="dxa"/>
              <w:bottom w:w="70" w:type="dxa"/>
              <w:left w:w="100" w:type="dxa"/>
              <w:right w:w="100" w:type="dxa"/>
            </w:tcMar>
            <w:shd w:fill="17324D"/>
          </w:tcPr>
          <w:p>
            <w:pPr>
              <w:spacing w:after="0" w:before="0" w:line="252" w:lineRule="auto"/>
              <w:jc w:val="right"/>
            </w:pPr>
            <w:r>
              <w:rPr>
                <w:b/>
                <w:color w:val="FFFFFF"/>
                <w:sz w:val="20"/>
              </w:rPr>
              <w:t>FCFA</w:t>
            </w:r>
          </w:p>
        </w:tc>
      </w:tr>
      <w:tr>
        <w:trPr>
          <w:cantSplit/>
        </w:trPr>
        <w:tc>
          <w:tcPr>
            <w:tcW w:type="dxa" w:w="2232"/>
            <w:vAlign w:val="center"/>
            <w:tcMar>
              <w:top w:w="70" w:type="dxa"/>
              <w:bottom w:w="70" w:type="dxa"/>
              <w:left w:w="100" w:type="dxa"/>
              <w:right w:w="100" w:type="dxa"/>
            </w:tcMar>
            <w:shd w:fill="FFFFFF"/>
          </w:tcPr>
          <w:p>
            <w:pPr>
              <w:spacing w:after="0" w:before="0" w:line="252" w:lineRule="auto"/>
              <w:jc w:val="left"/>
            </w:pPr>
            <w:r>
              <w:rPr>
                <w:b w:val="0"/>
                <w:color w:val="000000"/>
                <w:sz w:val="20"/>
              </w:rPr>
              <w:t>Supabase Pro [1]</w:t>
            </w:r>
          </w:p>
        </w:tc>
        <w:tc>
          <w:tcPr>
            <w:tcW w:type="dxa" w:w="6408"/>
            <w:vAlign w:val="center"/>
            <w:tcMar>
              <w:top w:w="70" w:type="dxa"/>
              <w:bottom w:w="70" w:type="dxa"/>
              <w:left w:w="100" w:type="dxa"/>
              <w:right w:w="100" w:type="dxa"/>
            </w:tcMar>
            <w:shd w:fill="FFFFFF"/>
          </w:tcPr>
          <w:p>
            <w:pPr>
              <w:spacing w:after="0" w:before="0" w:line="252" w:lineRule="auto"/>
              <w:jc w:val="left"/>
            </w:pPr>
            <w:r>
              <w:rPr>
                <w:b w:val="0"/>
                <w:color w:val="000000"/>
                <w:sz w:val="20"/>
              </w:rPr>
              <w:t>1 projet Micro et 1 mois à 25 USD</w:t>
            </w:r>
          </w:p>
        </w:tc>
        <w:tc>
          <w:tcPr>
            <w:tcW w:type="dxa" w:w="1728"/>
            <w:vAlign w:val="center"/>
            <w:tcMar>
              <w:top w:w="70" w:type="dxa"/>
              <w:bottom w:w="70" w:type="dxa"/>
              <w:left w:w="100" w:type="dxa"/>
              <w:right w:w="100" w:type="dxa"/>
            </w:tcMar>
            <w:shd w:fill="FFFFFF"/>
          </w:tcPr>
          <w:p>
            <w:pPr>
              <w:spacing w:after="0" w:before="0" w:line="252" w:lineRule="auto"/>
              <w:jc w:val="right"/>
            </w:pPr>
            <w:r>
              <w:rPr>
                <w:b w:val="0"/>
                <w:color w:val="000000"/>
                <w:sz w:val="20"/>
              </w:rPr>
              <w:t>14 635</w:t>
            </w:r>
          </w:p>
        </w:tc>
      </w:tr>
      <w:tr>
        <w:trPr>
          <w:cantSplit/>
        </w:trPr>
        <w:tc>
          <w:tcPr>
            <w:tcW w:type="dxa" w:w="2232"/>
            <w:vAlign w:val="center"/>
            <w:tcMar>
              <w:top w:w="70" w:type="dxa"/>
              <w:bottom w:w="70" w:type="dxa"/>
              <w:left w:w="100" w:type="dxa"/>
              <w:right w:w="100" w:type="dxa"/>
            </w:tcMar>
            <w:shd w:fill="F3F6F8"/>
          </w:tcPr>
          <w:p>
            <w:pPr>
              <w:spacing w:after="0" w:before="0" w:line="252" w:lineRule="auto"/>
              <w:jc w:val="left"/>
            </w:pPr>
            <w:r>
              <w:rPr>
                <w:b w:val="0"/>
                <w:color w:val="000000"/>
                <w:sz w:val="20"/>
              </w:rPr>
              <w:t>Vercel Pro [2]</w:t>
            </w:r>
          </w:p>
        </w:tc>
        <w:tc>
          <w:tcPr>
            <w:tcW w:type="dxa" w:w="6408"/>
            <w:vAlign w:val="center"/>
            <w:tcMar>
              <w:top w:w="70" w:type="dxa"/>
              <w:bottom w:w="70" w:type="dxa"/>
              <w:left w:w="100" w:type="dxa"/>
              <w:right w:w="100" w:type="dxa"/>
            </w:tcMar>
            <w:shd w:fill="F3F6F8"/>
          </w:tcPr>
          <w:p>
            <w:pPr>
              <w:spacing w:after="0" w:before="0" w:line="252" w:lineRule="auto"/>
              <w:jc w:val="left"/>
            </w:pPr>
            <w:r>
              <w:rPr>
                <w:b w:val="0"/>
                <w:color w:val="000000"/>
                <w:sz w:val="20"/>
              </w:rPr>
              <w:t>1 siège développeur et 1 mois à 20 USD</w:t>
            </w:r>
          </w:p>
        </w:tc>
        <w:tc>
          <w:tcPr>
            <w:tcW w:type="dxa" w:w="1728"/>
            <w:vAlign w:val="center"/>
            <w:tcMar>
              <w:top w:w="70" w:type="dxa"/>
              <w:bottom w:w="70" w:type="dxa"/>
              <w:left w:w="100" w:type="dxa"/>
              <w:right w:w="100" w:type="dxa"/>
            </w:tcMar>
            <w:shd w:fill="F3F6F8"/>
          </w:tcPr>
          <w:p>
            <w:pPr>
              <w:spacing w:after="0" w:before="0" w:line="252" w:lineRule="auto"/>
              <w:jc w:val="right"/>
            </w:pPr>
            <w:r>
              <w:rPr>
                <w:b w:val="0"/>
                <w:color w:val="000000"/>
                <w:sz w:val="20"/>
              </w:rPr>
              <w:t>11 708</w:t>
            </w:r>
          </w:p>
        </w:tc>
      </w:tr>
      <w:tr>
        <w:trPr>
          <w:cantSplit/>
        </w:trPr>
        <w:tc>
          <w:tcPr>
            <w:tcW w:type="dxa" w:w="2232"/>
            <w:vAlign w:val="center"/>
            <w:tcMar>
              <w:top w:w="70" w:type="dxa"/>
              <w:bottom w:w="70" w:type="dxa"/>
              <w:left w:w="100" w:type="dxa"/>
              <w:right w:w="100" w:type="dxa"/>
            </w:tcMar>
            <w:shd w:fill="FFFFFF"/>
          </w:tcPr>
          <w:p>
            <w:pPr>
              <w:spacing w:after="0" w:before="0" w:line="252" w:lineRule="auto"/>
              <w:jc w:val="left"/>
            </w:pPr>
            <w:r>
              <w:rPr>
                <w:b w:val="0"/>
                <w:color w:val="000000"/>
                <w:sz w:val="20"/>
              </w:rPr>
              <w:t>Cartographie OVH [3]</w:t>
            </w:r>
          </w:p>
        </w:tc>
        <w:tc>
          <w:tcPr>
            <w:tcW w:type="dxa" w:w="6408"/>
            <w:vAlign w:val="center"/>
            <w:tcMar>
              <w:top w:w="70" w:type="dxa"/>
              <w:bottom w:w="70" w:type="dxa"/>
              <w:left w:w="100" w:type="dxa"/>
              <w:right w:w="100" w:type="dxa"/>
            </w:tcMar>
            <w:shd w:fill="FFFFFF"/>
          </w:tcPr>
          <w:p>
            <w:pPr>
              <w:spacing w:after="0" w:before="0" w:line="252" w:lineRule="auto"/>
              <w:jc w:val="left"/>
            </w:pPr>
            <w:r>
              <w:rPr>
                <w:b w:val="0"/>
                <w:color w:val="000000"/>
                <w:sz w:val="20"/>
              </w:rPr>
              <w:t>VPS-2 2027 • 4 vCPU et 8 Go • 8,49 EUR HT sans engagement</w:t>
            </w:r>
          </w:p>
        </w:tc>
        <w:tc>
          <w:tcPr>
            <w:tcW w:type="dxa" w:w="1728"/>
            <w:vAlign w:val="center"/>
            <w:tcMar>
              <w:top w:w="70" w:type="dxa"/>
              <w:bottom w:w="70" w:type="dxa"/>
              <w:left w:w="100" w:type="dxa"/>
              <w:right w:w="100" w:type="dxa"/>
            </w:tcMar>
            <w:shd w:fill="FFFFFF"/>
          </w:tcPr>
          <w:p>
            <w:pPr>
              <w:spacing w:after="0" w:before="0" w:line="252" w:lineRule="auto"/>
              <w:jc w:val="right"/>
            </w:pPr>
            <w:r>
              <w:rPr>
                <w:b w:val="0"/>
                <w:color w:val="000000"/>
                <w:sz w:val="20"/>
              </w:rPr>
              <w:t>5 569</w:t>
            </w:r>
          </w:p>
        </w:tc>
      </w:tr>
      <w:tr>
        <w:trPr>
          <w:cantSplit/>
        </w:trPr>
        <w:tc>
          <w:tcPr>
            <w:tcW w:type="dxa" w:w="2232"/>
            <w:vAlign w:val="center"/>
            <w:tcMar>
              <w:top w:w="70" w:type="dxa"/>
              <w:bottom w:w="70" w:type="dxa"/>
              <w:left w:w="100" w:type="dxa"/>
              <w:right w:w="100" w:type="dxa"/>
            </w:tcMar>
            <w:shd w:fill="F3F6F8"/>
          </w:tcPr>
          <w:p>
            <w:pPr>
              <w:spacing w:after="0" w:before="0" w:line="252" w:lineRule="auto"/>
              <w:jc w:val="left"/>
            </w:pPr>
            <w:r>
              <w:rPr>
                <w:b w:val="0"/>
                <w:color w:val="000000"/>
                <w:sz w:val="20"/>
              </w:rPr>
              <w:t>Expo EAS Starter [4]</w:t>
            </w:r>
          </w:p>
        </w:tc>
        <w:tc>
          <w:tcPr>
            <w:tcW w:type="dxa" w:w="6408"/>
            <w:vAlign w:val="center"/>
            <w:tcMar>
              <w:top w:w="70" w:type="dxa"/>
              <w:bottom w:w="70" w:type="dxa"/>
              <w:left w:w="100" w:type="dxa"/>
              <w:right w:w="100" w:type="dxa"/>
            </w:tcMar>
            <w:shd w:fill="F3F6F8"/>
          </w:tcPr>
          <w:p>
            <w:pPr>
              <w:spacing w:after="0" w:before="0" w:line="252" w:lineRule="auto"/>
              <w:jc w:val="left"/>
            </w:pPr>
            <w:r>
              <w:rPr>
                <w:b w:val="0"/>
                <w:color w:val="000000"/>
                <w:sz w:val="20"/>
              </w:rPr>
              <w:t>1 organisation pour les 2 apps • 19 USD pour le mois</w:t>
            </w:r>
          </w:p>
        </w:tc>
        <w:tc>
          <w:tcPr>
            <w:tcW w:type="dxa" w:w="1728"/>
            <w:vAlign w:val="center"/>
            <w:tcMar>
              <w:top w:w="70" w:type="dxa"/>
              <w:bottom w:w="70" w:type="dxa"/>
              <w:left w:w="100" w:type="dxa"/>
              <w:right w:w="100" w:type="dxa"/>
            </w:tcMar>
            <w:shd w:fill="F3F6F8"/>
          </w:tcPr>
          <w:p>
            <w:pPr>
              <w:spacing w:after="0" w:before="0" w:line="252" w:lineRule="auto"/>
              <w:jc w:val="right"/>
            </w:pPr>
            <w:r>
              <w:rPr>
                <w:b w:val="0"/>
                <w:color w:val="000000"/>
                <w:sz w:val="20"/>
              </w:rPr>
              <w:t>11 123</w:t>
            </w:r>
          </w:p>
        </w:tc>
      </w:tr>
      <w:tr>
        <w:trPr>
          <w:cantSplit/>
        </w:trPr>
        <w:tc>
          <w:tcPr>
            <w:tcW w:type="dxa" w:w="2232"/>
            <w:vAlign w:val="center"/>
            <w:tcMar>
              <w:top w:w="70" w:type="dxa"/>
              <w:bottom w:w="70" w:type="dxa"/>
              <w:left w:w="100" w:type="dxa"/>
              <w:right w:w="100" w:type="dxa"/>
            </w:tcMar>
            <w:shd w:fill="FFFFFF"/>
          </w:tcPr>
          <w:p>
            <w:pPr>
              <w:spacing w:after="0" w:before="0" w:line="252" w:lineRule="auto"/>
              <w:jc w:val="left"/>
            </w:pPr>
            <w:r>
              <w:rPr>
                <w:b w:val="0"/>
                <w:color w:val="000000"/>
                <w:sz w:val="20"/>
              </w:rPr>
              <w:t>eSMS Africa Basic [5]</w:t>
            </w:r>
          </w:p>
        </w:tc>
        <w:tc>
          <w:tcPr>
            <w:tcW w:type="dxa" w:w="6408"/>
            <w:vAlign w:val="center"/>
            <w:tcMar>
              <w:top w:w="70" w:type="dxa"/>
              <w:bottom w:w="70" w:type="dxa"/>
              <w:left w:w="100" w:type="dxa"/>
              <w:right w:w="100" w:type="dxa"/>
            </w:tcMar>
            <w:shd w:fill="FFFFFF"/>
          </w:tcPr>
          <w:p>
            <w:pPr>
              <w:spacing w:after="0" w:before="0" w:line="252" w:lineRule="auto"/>
              <w:jc w:val="left"/>
            </w:pPr>
            <w:r>
              <w:rPr>
                <w:b w:val="0"/>
                <w:color w:val="000000"/>
                <w:sz w:val="20"/>
              </w:rPr>
              <w:t>500 SMS × 40 FCFA selon le tarif public</w:t>
            </w:r>
          </w:p>
        </w:tc>
        <w:tc>
          <w:tcPr>
            <w:tcW w:type="dxa" w:w="1728"/>
            <w:vAlign w:val="center"/>
            <w:tcMar>
              <w:top w:w="70" w:type="dxa"/>
              <w:bottom w:w="70" w:type="dxa"/>
              <w:left w:w="100" w:type="dxa"/>
              <w:right w:w="100" w:type="dxa"/>
            </w:tcMar>
            <w:shd w:fill="FFFFFF"/>
          </w:tcPr>
          <w:p>
            <w:pPr>
              <w:spacing w:after="0" w:before="0" w:line="252" w:lineRule="auto"/>
              <w:jc w:val="right"/>
            </w:pPr>
            <w:r>
              <w:rPr>
                <w:b w:val="0"/>
                <w:color w:val="000000"/>
                <w:sz w:val="20"/>
              </w:rPr>
              <w:t>20 000</w:t>
            </w:r>
          </w:p>
        </w:tc>
      </w:tr>
      <w:tr>
        <w:trPr>
          <w:cantSplit/>
        </w:trPr>
        <w:tc>
          <w:tcPr>
            <w:tcW w:type="dxa" w:w="2232"/>
            <w:vAlign w:val="center"/>
            <w:tcMar>
              <w:top w:w="70" w:type="dxa"/>
              <w:bottom w:w="70" w:type="dxa"/>
              <w:left w:w="100" w:type="dxa"/>
              <w:right w:w="100" w:type="dxa"/>
            </w:tcMar>
            <w:shd w:fill="F3F6F8"/>
          </w:tcPr>
          <w:p>
            <w:pPr>
              <w:spacing w:after="0" w:before="0" w:line="252" w:lineRule="auto"/>
              <w:jc w:val="left"/>
            </w:pPr>
            <w:r>
              <w:rPr>
                <w:b w:val="0"/>
                <w:color w:val="000000"/>
                <w:sz w:val="20"/>
              </w:rPr>
              <w:t>Domaine [6]</w:t>
            </w:r>
          </w:p>
        </w:tc>
        <w:tc>
          <w:tcPr>
            <w:tcW w:type="dxa" w:w="6408"/>
            <w:vAlign w:val="center"/>
            <w:tcMar>
              <w:top w:w="70" w:type="dxa"/>
              <w:bottom w:w="70" w:type="dxa"/>
              <w:left w:w="100" w:type="dxa"/>
              <w:right w:w="100" w:type="dxa"/>
            </w:tcMar>
            <w:shd w:fill="F3F6F8"/>
          </w:tcPr>
          <w:p>
            <w:pPr>
              <w:spacing w:after="0" w:before="0" w:line="252" w:lineRule="auto"/>
              <w:jc w:val="left"/>
            </w:pPr>
            <w:r>
              <w:rPr>
                <w:b w:val="0"/>
                <w:color w:val="000000"/>
                <w:sz w:val="20"/>
              </w:rPr>
              <w:t>1 domaine .com non premium • 7,99 EUR HT pour 1 an</w:t>
            </w:r>
          </w:p>
        </w:tc>
        <w:tc>
          <w:tcPr>
            <w:tcW w:type="dxa" w:w="1728"/>
            <w:vAlign w:val="center"/>
            <w:tcMar>
              <w:top w:w="70" w:type="dxa"/>
              <w:bottom w:w="70" w:type="dxa"/>
              <w:left w:w="100" w:type="dxa"/>
              <w:right w:w="100" w:type="dxa"/>
            </w:tcMar>
            <w:shd w:fill="F3F6F8"/>
          </w:tcPr>
          <w:p>
            <w:pPr>
              <w:spacing w:after="0" w:before="0" w:line="252" w:lineRule="auto"/>
              <w:jc w:val="right"/>
            </w:pPr>
            <w:r>
              <w:rPr>
                <w:b w:val="0"/>
                <w:color w:val="000000"/>
                <w:sz w:val="20"/>
              </w:rPr>
              <w:t>5 241</w:t>
            </w:r>
          </w:p>
        </w:tc>
      </w:tr>
      <w:tr>
        <w:trPr>
          <w:cantSplit/>
        </w:trPr>
        <w:tc>
          <w:tcPr>
            <w:tcW w:type="dxa" w:w="2232"/>
            <w:vAlign w:val="center"/>
            <w:tcMar>
              <w:top w:w="70" w:type="dxa"/>
              <w:bottom w:w="70" w:type="dxa"/>
              <w:left w:w="100" w:type="dxa"/>
              <w:right w:w="100" w:type="dxa"/>
            </w:tcMar>
            <w:shd w:fill="FFFFFF"/>
          </w:tcPr>
          <w:p>
            <w:pPr>
              <w:spacing w:after="0" w:before="0" w:line="252" w:lineRule="auto"/>
              <w:jc w:val="left"/>
            </w:pPr>
            <w:r>
              <w:rPr>
                <w:b w:val="0"/>
                <w:color w:val="000000"/>
                <w:sz w:val="20"/>
              </w:rPr>
              <w:t>SMTP Resend Free [7]</w:t>
            </w:r>
          </w:p>
        </w:tc>
        <w:tc>
          <w:tcPr>
            <w:tcW w:type="dxa" w:w="6408"/>
            <w:vAlign w:val="center"/>
            <w:tcMar>
              <w:top w:w="70" w:type="dxa"/>
              <w:bottom w:w="70" w:type="dxa"/>
              <w:left w:w="100" w:type="dxa"/>
              <w:right w:w="100" w:type="dxa"/>
            </w:tcMar>
            <w:shd w:fill="FFFFFF"/>
          </w:tcPr>
          <w:p>
            <w:pPr>
              <w:spacing w:after="0" w:before="0" w:line="252" w:lineRule="auto"/>
              <w:jc w:val="left"/>
            </w:pPr>
            <w:r>
              <w:rPr>
                <w:b w:val="0"/>
                <w:color w:val="000000"/>
                <w:sz w:val="20"/>
              </w:rPr>
              <w:t>3 000 e-mails par mois et 100 par jour</w:t>
            </w:r>
          </w:p>
        </w:tc>
        <w:tc>
          <w:tcPr>
            <w:tcW w:type="dxa" w:w="1728"/>
            <w:vAlign w:val="center"/>
            <w:tcMar>
              <w:top w:w="70" w:type="dxa"/>
              <w:bottom w:w="70" w:type="dxa"/>
              <w:left w:w="100" w:type="dxa"/>
              <w:right w:w="100" w:type="dxa"/>
            </w:tcMar>
            <w:shd w:fill="FFFFFF"/>
          </w:tcPr>
          <w:p>
            <w:pPr>
              <w:spacing w:after="0" w:before="0" w:line="252" w:lineRule="auto"/>
              <w:jc w:val="right"/>
            </w:pPr>
            <w:r>
              <w:rPr>
                <w:b w:val="0"/>
                <w:color w:val="000000"/>
                <w:sz w:val="20"/>
              </w:rPr>
              <w:t>0</w:t>
            </w:r>
          </w:p>
        </w:tc>
      </w:tr>
      <w:tr>
        <w:trPr>
          <w:cantSplit/>
        </w:trPr>
        <w:tc>
          <w:tcPr>
            <w:tcW w:type="dxa" w:w="2232"/>
            <w:vAlign w:val="center"/>
            <w:tcMar>
              <w:top w:w="70" w:type="dxa"/>
              <w:bottom w:w="70" w:type="dxa"/>
              <w:left w:w="100" w:type="dxa"/>
              <w:right w:w="100" w:type="dxa"/>
            </w:tcMar>
            <w:shd w:fill="F3F6F8"/>
          </w:tcPr>
          <w:p>
            <w:pPr>
              <w:spacing w:after="0" w:before="0" w:line="252" w:lineRule="auto"/>
              <w:jc w:val="left"/>
            </w:pPr>
            <w:r>
              <w:rPr>
                <w:b w:val="0"/>
                <w:color w:val="000000"/>
                <w:sz w:val="20"/>
              </w:rPr>
              <w:t>Stockage Supabase [1]</w:t>
            </w:r>
          </w:p>
        </w:tc>
        <w:tc>
          <w:tcPr>
            <w:tcW w:type="dxa" w:w="6408"/>
            <w:vAlign w:val="center"/>
            <w:tcMar>
              <w:top w:w="70" w:type="dxa"/>
              <w:bottom w:w="70" w:type="dxa"/>
              <w:left w:w="100" w:type="dxa"/>
              <w:right w:w="100" w:type="dxa"/>
            </w:tcMar>
            <w:shd w:fill="F3F6F8"/>
          </w:tcPr>
          <w:p>
            <w:pPr>
              <w:spacing w:after="0" w:before="0" w:line="252" w:lineRule="auto"/>
              <w:jc w:val="left"/>
            </w:pPr>
            <w:r>
              <w:rPr>
                <w:b w:val="0"/>
                <w:color w:val="000000"/>
                <w:sz w:val="20"/>
              </w:rPr>
              <w:t>Inclus dans Pro • aucune offre de stockage externe</w:t>
            </w:r>
          </w:p>
        </w:tc>
        <w:tc>
          <w:tcPr>
            <w:tcW w:type="dxa" w:w="1728"/>
            <w:vAlign w:val="center"/>
            <w:tcMar>
              <w:top w:w="70" w:type="dxa"/>
              <w:bottom w:w="70" w:type="dxa"/>
              <w:left w:w="100" w:type="dxa"/>
              <w:right w:w="100" w:type="dxa"/>
            </w:tcMar>
            <w:shd w:fill="F3F6F8"/>
          </w:tcPr>
          <w:p>
            <w:pPr>
              <w:spacing w:after="0" w:before="0" w:line="252" w:lineRule="auto"/>
              <w:jc w:val="right"/>
            </w:pPr>
            <w:r>
              <w:rPr>
                <w:b w:val="0"/>
                <w:color w:val="000000"/>
                <w:sz w:val="20"/>
              </w:rPr>
              <w:t>0</w:t>
            </w:r>
          </w:p>
        </w:tc>
      </w:tr>
      <w:tr>
        <w:trPr>
          <w:cantSplit/>
        </w:trPr>
        <w:tc>
          <w:tcPr>
            <w:tcW w:type="dxa" w:w="2232"/>
            <w:vAlign w:val="center"/>
            <w:tcMar>
              <w:top w:w="70" w:type="dxa"/>
              <w:bottom w:w="70" w:type="dxa"/>
              <w:left w:w="100" w:type="dxa"/>
              <w:right w:w="100" w:type="dxa"/>
            </w:tcMar>
            <w:shd w:fill="FFFFFF"/>
          </w:tcPr>
          <w:p>
            <w:pPr>
              <w:spacing w:after="0" w:before="0" w:line="252" w:lineRule="auto"/>
              <w:jc w:val="left"/>
            </w:pPr>
            <w:r>
              <w:rPr>
                <w:b w:val="0"/>
                <w:color w:val="000000"/>
                <w:sz w:val="20"/>
              </w:rPr>
              <w:t>Push et distribution [8]</w:t>
            </w:r>
          </w:p>
        </w:tc>
        <w:tc>
          <w:tcPr>
            <w:tcW w:type="dxa" w:w="6408"/>
            <w:vAlign w:val="center"/>
            <w:tcMar>
              <w:top w:w="70" w:type="dxa"/>
              <w:bottom w:w="70" w:type="dxa"/>
              <w:left w:w="100" w:type="dxa"/>
              <w:right w:w="100" w:type="dxa"/>
            </w:tcMar>
            <w:shd w:fill="FFFFFF"/>
          </w:tcPr>
          <w:p>
            <w:pPr>
              <w:spacing w:after="0" w:before="0" w:line="252" w:lineRule="auto"/>
              <w:jc w:val="left"/>
            </w:pPr>
            <w:r>
              <w:rPr>
                <w:b w:val="0"/>
                <w:color w:val="000000"/>
                <w:sz w:val="20"/>
              </w:rPr>
              <w:t>Expo Push et FCM • Google Play déjà réglé</w:t>
            </w:r>
          </w:p>
        </w:tc>
        <w:tc>
          <w:tcPr>
            <w:tcW w:type="dxa" w:w="1728"/>
            <w:vAlign w:val="center"/>
            <w:tcMar>
              <w:top w:w="70" w:type="dxa"/>
              <w:bottom w:w="70" w:type="dxa"/>
              <w:left w:w="100" w:type="dxa"/>
              <w:right w:w="100" w:type="dxa"/>
            </w:tcMar>
            <w:shd w:fill="FFFFFF"/>
          </w:tcPr>
          <w:p>
            <w:pPr>
              <w:spacing w:after="0" w:before="0" w:line="252" w:lineRule="auto"/>
              <w:jc w:val="right"/>
            </w:pPr>
            <w:r>
              <w:rPr>
                <w:b w:val="0"/>
                <w:color w:val="000000"/>
                <w:sz w:val="20"/>
              </w:rPr>
              <w:t>0</w:t>
            </w:r>
          </w:p>
        </w:tc>
      </w:tr>
      <w:tr>
        <w:trPr>
          <w:cantSplit/>
        </w:trPr>
        <w:tc>
          <w:tcPr>
            <w:tcW w:type="dxa" w:w="2232"/>
            <w:vAlign w:val="center"/>
            <w:tcMar>
              <w:top w:w="70" w:type="dxa"/>
              <w:bottom w:w="70" w:type="dxa"/>
              <w:left w:w="100" w:type="dxa"/>
              <w:right w:w="100" w:type="dxa"/>
            </w:tcMar>
            <w:shd w:fill="F3F6F8"/>
          </w:tcPr>
          <w:p>
            <w:pPr>
              <w:spacing w:after="0" w:before="0" w:line="252" w:lineRule="auto"/>
              <w:jc w:val="left"/>
            </w:pPr>
            <w:r>
              <w:rPr>
                <w:b w:val="0"/>
                <w:color w:val="000000"/>
                <w:sz w:val="20"/>
              </w:rPr>
              <w:t>Diagnostics [9]</w:t>
            </w:r>
          </w:p>
        </w:tc>
        <w:tc>
          <w:tcPr>
            <w:tcW w:type="dxa" w:w="6408"/>
            <w:vAlign w:val="center"/>
            <w:tcMar>
              <w:top w:w="70" w:type="dxa"/>
              <w:bottom w:w="70" w:type="dxa"/>
              <w:left w:w="100" w:type="dxa"/>
              <w:right w:w="100" w:type="dxa"/>
            </w:tcMar>
            <w:shd w:fill="F3F6F8"/>
          </w:tcPr>
          <w:p>
            <w:pPr>
              <w:spacing w:after="0" w:before="0" w:line="252" w:lineRule="auto"/>
              <w:jc w:val="left"/>
            </w:pPr>
            <w:r>
              <w:rPr>
                <w:b w:val="0"/>
                <w:color w:val="000000"/>
                <w:sz w:val="20"/>
              </w:rPr>
              <w:t>Sentry et surveillance sur paliers gratuits à confirmer</w:t>
            </w:r>
          </w:p>
        </w:tc>
        <w:tc>
          <w:tcPr>
            <w:tcW w:type="dxa" w:w="1728"/>
            <w:vAlign w:val="center"/>
            <w:tcMar>
              <w:top w:w="70" w:type="dxa"/>
              <w:bottom w:w="70" w:type="dxa"/>
              <w:left w:w="100" w:type="dxa"/>
              <w:right w:w="100" w:type="dxa"/>
            </w:tcMar>
            <w:shd w:fill="F3F6F8"/>
          </w:tcPr>
          <w:p>
            <w:pPr>
              <w:spacing w:after="0" w:before="0" w:line="252" w:lineRule="auto"/>
              <w:jc w:val="right"/>
            </w:pPr>
            <w:r>
              <w:rPr>
                <w:b w:val="0"/>
                <w:color w:val="000000"/>
                <w:sz w:val="20"/>
              </w:rPr>
              <w:t>0</w:t>
            </w:r>
          </w:p>
        </w:tc>
      </w:tr>
      <w:tr>
        <w:trPr>
          <w:cantSplit/>
        </w:trPr>
        <w:tc>
          <w:tcPr>
            <w:tcW w:type="dxa" w:w="2232"/>
            <w:vAlign w:val="center"/>
            <w:tcMar>
              <w:top w:w="70" w:type="dxa"/>
              <w:bottom w:w="70" w:type="dxa"/>
              <w:left w:w="100" w:type="dxa"/>
              <w:right w:w="100" w:type="dxa"/>
            </w:tcMar>
            <w:shd w:fill="E4ECF2"/>
          </w:tcPr>
          <w:p>
            <w:pPr>
              <w:spacing w:after="0" w:before="0" w:line="252" w:lineRule="auto"/>
              <w:jc w:val="left"/>
            </w:pPr>
            <w:r>
              <w:rPr>
                <w:b/>
                <w:color w:val="000000"/>
                <w:sz w:val="20"/>
              </w:rPr>
              <w:t>Sous total</w:t>
            </w:r>
          </w:p>
        </w:tc>
        <w:tc>
          <w:tcPr>
            <w:tcW w:type="dxa" w:w="6408"/>
            <w:vAlign w:val="center"/>
            <w:tcMar>
              <w:top w:w="70" w:type="dxa"/>
              <w:bottom w:w="70" w:type="dxa"/>
              <w:left w:w="100" w:type="dxa"/>
              <w:right w:w="100" w:type="dxa"/>
            </w:tcMar>
            <w:shd w:fill="E4ECF2"/>
          </w:tcPr>
          <w:p>
            <w:pPr>
              <w:spacing w:after="0" w:before="0" w:line="252" w:lineRule="auto"/>
              <w:jc w:val="left"/>
            </w:pPr>
            <w:r>
              <w:rPr>
                <w:b/>
                <w:color w:val="000000"/>
                <w:sz w:val="20"/>
              </w:rPr>
              <w:t>Services et domaine avant provision</w:t>
            </w:r>
          </w:p>
        </w:tc>
        <w:tc>
          <w:tcPr>
            <w:tcW w:type="dxa" w:w="1728"/>
            <w:vAlign w:val="center"/>
            <w:tcMar>
              <w:top w:w="70" w:type="dxa"/>
              <w:bottom w:w="70" w:type="dxa"/>
              <w:left w:w="100" w:type="dxa"/>
              <w:right w:w="100" w:type="dxa"/>
            </w:tcMar>
            <w:shd w:fill="E4ECF2"/>
          </w:tcPr>
          <w:p>
            <w:pPr>
              <w:spacing w:after="0" w:before="0" w:line="252" w:lineRule="auto"/>
              <w:jc w:val="right"/>
            </w:pPr>
            <w:r>
              <w:rPr>
                <w:b/>
                <w:color w:val="000000"/>
                <w:sz w:val="20"/>
              </w:rPr>
              <w:t>68 276</w:t>
            </w:r>
          </w:p>
        </w:tc>
      </w:tr>
      <w:tr>
        <w:trPr>
          <w:cantSplit/>
        </w:trPr>
        <w:tc>
          <w:tcPr>
            <w:tcW w:type="dxa" w:w="2232"/>
            <w:vAlign w:val="center"/>
            <w:tcMar>
              <w:top w:w="70" w:type="dxa"/>
              <w:bottom w:w="70" w:type="dxa"/>
              <w:left w:w="100" w:type="dxa"/>
              <w:right w:w="100" w:type="dxa"/>
            </w:tcMar>
            <w:shd w:fill="E4ECF2"/>
          </w:tcPr>
          <w:p>
            <w:pPr>
              <w:spacing w:after="0" w:before="0" w:line="252" w:lineRule="auto"/>
              <w:jc w:val="left"/>
            </w:pPr>
            <w:r>
              <w:rPr>
                <w:b/>
                <w:color w:val="000000"/>
                <w:sz w:val="20"/>
              </w:rPr>
              <w:t>Provision de 30 %</w:t>
            </w:r>
          </w:p>
        </w:tc>
        <w:tc>
          <w:tcPr>
            <w:tcW w:type="dxa" w:w="6408"/>
            <w:vAlign w:val="center"/>
            <w:tcMar>
              <w:top w:w="70" w:type="dxa"/>
              <w:bottom w:w="70" w:type="dxa"/>
              <w:left w:w="100" w:type="dxa"/>
              <w:right w:w="100" w:type="dxa"/>
            </w:tcMar>
            <w:shd w:fill="E4ECF2"/>
          </w:tcPr>
          <w:p>
            <w:pPr>
              <w:spacing w:after="0" w:before="0" w:line="252" w:lineRule="auto"/>
              <w:jc w:val="left"/>
            </w:pPr>
            <w:r>
              <w:rPr>
                <w:b/>
                <w:color w:val="000000"/>
                <w:sz w:val="20"/>
              </w:rPr>
              <w:t>Réserve budgétaire globale appliquée au sous total</w:t>
            </w:r>
          </w:p>
        </w:tc>
        <w:tc>
          <w:tcPr>
            <w:tcW w:type="dxa" w:w="1728"/>
            <w:vAlign w:val="center"/>
            <w:tcMar>
              <w:top w:w="70" w:type="dxa"/>
              <w:bottom w:w="70" w:type="dxa"/>
              <w:left w:w="100" w:type="dxa"/>
              <w:right w:w="100" w:type="dxa"/>
            </w:tcMar>
            <w:shd w:fill="E4ECF2"/>
          </w:tcPr>
          <w:p>
            <w:pPr>
              <w:spacing w:after="0" w:before="0" w:line="252" w:lineRule="auto"/>
              <w:jc w:val="right"/>
            </w:pPr>
            <w:r>
              <w:rPr>
                <w:b/>
                <w:color w:val="000000"/>
                <w:sz w:val="20"/>
              </w:rPr>
              <w:t>20 483</w:t>
            </w:r>
          </w:p>
        </w:tc>
      </w:tr>
      <w:tr>
        <w:trPr>
          <w:cantSplit/>
        </w:trPr>
        <w:tc>
          <w:tcPr>
            <w:tcW w:type="dxa" w:w="2232"/>
            <w:vAlign w:val="center"/>
            <w:tcMar>
              <w:top w:w="70" w:type="dxa"/>
              <w:bottom w:w="70" w:type="dxa"/>
              <w:left w:w="100" w:type="dxa"/>
              <w:right w:w="100" w:type="dxa"/>
            </w:tcMar>
            <w:shd w:fill="E4ECF2"/>
          </w:tcPr>
          <w:p>
            <w:pPr>
              <w:spacing w:after="0" w:before="0" w:line="252" w:lineRule="auto"/>
              <w:jc w:val="left"/>
            </w:pPr>
            <w:r>
              <w:rPr>
                <w:b/>
                <w:color w:val="000000"/>
                <w:sz w:val="20"/>
              </w:rPr>
              <w:t>Total estimé du premier mois</w:t>
            </w:r>
          </w:p>
        </w:tc>
        <w:tc>
          <w:tcPr>
            <w:tcW w:type="dxa" w:w="6408"/>
            <w:vAlign w:val="center"/>
            <w:tcMar>
              <w:top w:w="70" w:type="dxa"/>
              <w:bottom w:w="70" w:type="dxa"/>
              <w:left w:w="100" w:type="dxa"/>
              <w:right w:w="100" w:type="dxa"/>
            </w:tcMar>
            <w:shd w:fill="E4ECF2"/>
          </w:tcPr>
          <w:p>
            <w:pPr>
              <w:spacing w:after="0" w:before="0" w:line="252" w:lineRule="auto"/>
              <w:jc w:val="left"/>
            </w:pPr>
            <w:r>
              <w:rPr>
                <w:b/>
                <w:color w:val="000000"/>
                <w:sz w:val="20"/>
              </w:rPr>
              <w:t>Enveloppe pratique proposée 90 000 FCFA</w:t>
            </w:r>
          </w:p>
        </w:tc>
        <w:tc>
          <w:tcPr>
            <w:tcW w:type="dxa" w:w="1728"/>
            <w:vAlign w:val="center"/>
            <w:tcMar>
              <w:top w:w="70" w:type="dxa"/>
              <w:bottom w:w="70" w:type="dxa"/>
              <w:left w:w="100" w:type="dxa"/>
              <w:right w:w="100" w:type="dxa"/>
            </w:tcMar>
            <w:shd w:fill="E4ECF2"/>
          </w:tcPr>
          <w:p>
            <w:pPr>
              <w:spacing w:after="0" w:before="0" w:line="252" w:lineRule="auto"/>
              <w:jc w:val="right"/>
            </w:pPr>
            <w:r>
              <w:rPr>
                <w:b/>
                <w:color w:val="000000"/>
                <w:sz w:val="20"/>
              </w:rPr>
              <w:t>88 759</w:t>
            </w:r>
          </w:p>
        </w:tc>
      </w:tr>
    </w:tbl>
    <w:p>
      <w:pPr>
        <w:spacing w:before="100"/>
      </w:pPr>
      <w:r>
        <w:rPr>
          <w:b w:val="0"/>
          <w:sz w:val="19"/>
        </w:rPr>
        <w:t>Le domaine est compté intégralement au démarrage, sans division par douze. S’il existe déjà, le total avec provision descend à environ 82 000 FCFA.</w:t>
      </w:r>
    </w:p>
    <w:p>
      <w:r>
        <w:rPr>
          <w:sz w:val="18"/>
        </w:rPr>
        <w:t>Montants en francs CFA d’Afrique centrale (XAF). Conversion [10] : 1 EUR = 655,957 FCFA ; 1 EUR = 1,1205 USD au 22 octobre 2026, soit 1 USD ≈ 585,4145 FCFA. Chaque ligne est arrondie au franc, puis les lignes sont additionnées. La provision de 30 % n’est pas un taux de taxe légal.</w:t>
      </w:r>
    </w:p>
    <w:p>
      <w:r>
        <w:rPr>
          <w:b w:val="0"/>
          <w:sz w:val="18"/>
        </w:rPr>
        <w:t>Sous réserve du devis eSMS Africa : minimum de recharge, activation et enregistrement de l’expéditeur ne sont pas confirmés. Une avance supérieure au crédit consommé peut augmenter le décaissement initial.</w:t>
      </w:r>
    </w:p>
    <w:p>
      <w:r>
        <w:br w:type="page"/>
      </w:r>
    </w:p>
    <w:p>
      <w:pPr>
        <w:pStyle w:val="Heading1"/>
      </w:pPr>
      <w:r>
        <w:rPr>
          <w:b w:val="0"/>
        </w:rPr>
        <w:t>OVH et les conditions du budget</w:t>
      </w:r>
    </w:p>
    <w:p>
      <w:r>
        <w:rPr>
          <w:b w:val="0"/>
        </w:rPr>
        <w:t>OVH est un bon candidat économique pour ce pilote, mais nous n’avons pas mesuré sa qualité depuis Libreville. Le choix du datacenter doit suivre des essais Airtel et Moov sur les devis, les cartes et les pertes réseau. Les 8 Go restent une hypothèse à éprouver, notamment lors des reconstructions cartographiques.</w:t>
      </w:r>
    </w:p>
    <w:p>
      <w:r>
        <w:t>Le catalogue public OVH confirme 8,49 EUR HT par mois sans engagement et sans frais d’installation. Le prix de 7,21 EUR impose un prépaiement de douze mois : il n’est pas retenu pour cet essai. Scaleway Paris reste une alternative ; son DEV1 L est annoncé à 0,04284 EUR par heure, soit environ 20 233 FCFA pour 720 heures, avant disque et IPv4 [3, 11].</w:t>
      </w:r>
    </w:p>
    <w:p>
      <w:pPr>
        <w:pStyle w:val="Heading1"/>
      </w:pPr>
      <w:r>
        <w:rPr>
          <w:b w:val="0"/>
        </w:rPr>
        <w:t>Consommation et limites</w:t>
      </w:r>
    </w:p>
    <w:p>
      <w:r>
        <w:rPr>
          <w:b w:val="0"/>
        </w:rPr>
        <w:t>Expo Starter est compté une seule fois pour l’organisation teko241. Hypothèse de 12 builds Android medium au total, à 1 USD chacun : les 12 USD de consommation entrent dans les 45 USD de crédit inclus, sans supplément prévu. EAS Update est supposé rester sous 3 000 utilisateurs actifs et 100 Gio de diffusion. Ces plafonds couvrent les deux apps [4].</w:t>
      </w:r>
    </w:p>
    <w:p>
      <w:r>
        <w:rPr>
          <w:b w:val="0"/>
        </w:rPr>
        <w:t>SMTP : l’offre Resend Free est retenue pour le calcul, avec un domaine vérifié. Elle transporte les e-mails ; elle ne remplace pas une boîte de support. Supabase Pro suppose un seul projet hébergé et un usage dans les quotas ; Vercel Pro suppose un seul développeur, les opérateurs de la console n’étant pas des sièges Vercel supplémentaires [1, 2, 7].</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2880"/>
        <w:gridCol w:w="4176"/>
      </w:tblGrid>
      <w:tr>
        <w:trPr>
          <w:tblHeader/>
          <w:cantSplit/>
        </w:trPr>
        <w:tc>
          <w:tcPr>
            <w:tcW w:type="dxa" w:w="3312"/>
            <w:vAlign w:val="center"/>
            <w:tcMar>
              <w:top w:w="70" w:type="dxa"/>
              <w:bottom w:w="70" w:type="dxa"/>
              <w:left w:w="100" w:type="dxa"/>
              <w:right w:w="100" w:type="dxa"/>
            </w:tcMar>
            <w:shd w:fill="17324D"/>
          </w:tcPr>
          <w:p>
            <w:pPr>
              <w:spacing w:after="0" w:before="0" w:line="252" w:lineRule="auto"/>
              <w:jc w:val="left"/>
            </w:pPr>
            <w:r>
              <w:rPr>
                <w:b/>
                <w:color w:val="FFFFFF"/>
                <w:sz w:val="20"/>
              </w:rPr>
              <w:t>Volume SMS du mois</w:t>
            </w:r>
          </w:p>
        </w:tc>
        <w:tc>
          <w:tcPr>
            <w:tcW w:type="dxa" w:w="2880"/>
            <w:vAlign w:val="center"/>
            <w:tcMar>
              <w:top w:w="70" w:type="dxa"/>
              <w:bottom w:w="70" w:type="dxa"/>
              <w:left w:w="100" w:type="dxa"/>
              <w:right w:w="100" w:type="dxa"/>
            </w:tcMar>
            <w:shd w:fill="17324D"/>
          </w:tcPr>
          <w:p>
            <w:pPr>
              <w:spacing w:after="0" w:before="0" w:line="252" w:lineRule="auto"/>
              <w:jc w:val="left"/>
            </w:pPr>
            <w:r>
              <w:rPr>
                <w:b/>
                <w:color w:val="FFFFFF"/>
                <w:sz w:val="20"/>
              </w:rPr>
              <w:t>SMS en FCFA</w:t>
            </w:r>
          </w:p>
        </w:tc>
        <w:tc>
          <w:tcPr>
            <w:tcW w:type="dxa" w:w="4176"/>
            <w:vAlign w:val="center"/>
            <w:tcMar>
              <w:top w:w="70" w:type="dxa"/>
              <w:bottom w:w="70" w:type="dxa"/>
              <w:left w:w="100" w:type="dxa"/>
              <w:right w:w="100" w:type="dxa"/>
            </w:tcMar>
            <w:shd w:fill="17324D"/>
          </w:tcPr>
          <w:p>
            <w:pPr>
              <w:spacing w:after="0" w:before="0" w:line="252" w:lineRule="auto"/>
              <w:jc w:val="right"/>
            </w:pPr>
            <w:r>
              <w:rPr>
                <w:b/>
                <w:color w:val="FFFFFF"/>
                <w:sz w:val="20"/>
              </w:rPr>
              <w:t>Total avec provision</w:t>
            </w:r>
          </w:p>
        </w:tc>
      </w:tr>
      <w:tr>
        <w:trPr>
          <w:cantSplit/>
        </w:trPr>
        <w:tc>
          <w:tcPr>
            <w:tcW w:type="dxa" w:w="3312"/>
            <w:vAlign w:val="center"/>
            <w:tcMar>
              <w:top w:w="70" w:type="dxa"/>
              <w:bottom w:w="70" w:type="dxa"/>
              <w:left w:w="100" w:type="dxa"/>
              <w:right w:w="100" w:type="dxa"/>
            </w:tcMar>
            <w:shd w:fill="FFFFFF"/>
          </w:tcPr>
          <w:p>
            <w:pPr>
              <w:spacing w:after="0" w:before="0" w:line="252" w:lineRule="auto"/>
              <w:jc w:val="left"/>
            </w:pPr>
            <w:r>
              <w:rPr>
                <w:b w:val="0"/>
                <w:color w:val="000000"/>
                <w:sz w:val="20"/>
              </w:rPr>
              <w:t>250</w:t>
            </w:r>
          </w:p>
        </w:tc>
        <w:tc>
          <w:tcPr>
            <w:tcW w:type="dxa" w:w="2880"/>
            <w:vAlign w:val="center"/>
            <w:tcMar>
              <w:top w:w="70" w:type="dxa"/>
              <w:bottom w:w="70" w:type="dxa"/>
              <w:left w:w="100" w:type="dxa"/>
              <w:right w:w="100" w:type="dxa"/>
            </w:tcMar>
            <w:shd w:fill="FFFFFF"/>
          </w:tcPr>
          <w:p>
            <w:pPr>
              <w:spacing w:after="0" w:before="0" w:line="252" w:lineRule="auto"/>
              <w:jc w:val="left"/>
            </w:pPr>
            <w:r>
              <w:rPr>
                <w:b w:val="0"/>
                <w:color w:val="000000"/>
                <w:sz w:val="20"/>
              </w:rPr>
              <w:t>10 000</w:t>
            </w:r>
          </w:p>
        </w:tc>
        <w:tc>
          <w:tcPr>
            <w:tcW w:type="dxa" w:w="4176"/>
            <w:vAlign w:val="center"/>
            <w:tcMar>
              <w:top w:w="70" w:type="dxa"/>
              <w:bottom w:w="70" w:type="dxa"/>
              <w:left w:w="100" w:type="dxa"/>
              <w:right w:w="100" w:type="dxa"/>
            </w:tcMar>
            <w:shd w:fill="FFFFFF"/>
          </w:tcPr>
          <w:p>
            <w:pPr>
              <w:spacing w:after="0" w:before="0" w:line="252" w:lineRule="auto"/>
              <w:jc w:val="right"/>
            </w:pPr>
            <w:r>
              <w:rPr>
                <w:b w:val="0"/>
                <w:color w:val="000000"/>
                <w:sz w:val="20"/>
              </w:rPr>
              <w:t>75 759 FCFA</w:t>
            </w:r>
          </w:p>
        </w:tc>
      </w:tr>
      <w:tr>
        <w:trPr>
          <w:cantSplit/>
        </w:trPr>
        <w:tc>
          <w:tcPr>
            <w:tcW w:type="dxa" w:w="3312"/>
            <w:vAlign w:val="center"/>
            <w:tcMar>
              <w:top w:w="70" w:type="dxa"/>
              <w:bottom w:w="70" w:type="dxa"/>
              <w:left w:w="100" w:type="dxa"/>
              <w:right w:w="100" w:type="dxa"/>
            </w:tcMar>
            <w:shd w:fill="F3F6F8"/>
          </w:tcPr>
          <w:p>
            <w:pPr>
              <w:spacing w:after="0" w:before="0" w:line="252" w:lineRule="auto"/>
              <w:jc w:val="left"/>
            </w:pPr>
            <w:r>
              <w:rPr>
                <w:b w:val="0"/>
                <w:color w:val="000000"/>
                <w:sz w:val="20"/>
              </w:rPr>
              <w:t>500</w:t>
            </w:r>
          </w:p>
        </w:tc>
        <w:tc>
          <w:tcPr>
            <w:tcW w:type="dxa" w:w="2880"/>
            <w:vAlign w:val="center"/>
            <w:tcMar>
              <w:top w:w="70" w:type="dxa"/>
              <w:bottom w:w="70" w:type="dxa"/>
              <w:left w:w="100" w:type="dxa"/>
              <w:right w:w="100" w:type="dxa"/>
            </w:tcMar>
            <w:shd w:fill="F3F6F8"/>
          </w:tcPr>
          <w:p>
            <w:pPr>
              <w:spacing w:after="0" w:before="0" w:line="252" w:lineRule="auto"/>
              <w:jc w:val="left"/>
            </w:pPr>
            <w:r>
              <w:rPr>
                <w:b w:val="0"/>
                <w:color w:val="000000"/>
                <w:sz w:val="20"/>
              </w:rPr>
              <w:t>20 000</w:t>
            </w:r>
          </w:p>
        </w:tc>
        <w:tc>
          <w:tcPr>
            <w:tcW w:type="dxa" w:w="4176"/>
            <w:vAlign w:val="center"/>
            <w:tcMar>
              <w:top w:w="70" w:type="dxa"/>
              <w:bottom w:w="70" w:type="dxa"/>
              <w:left w:w="100" w:type="dxa"/>
              <w:right w:w="100" w:type="dxa"/>
            </w:tcMar>
            <w:shd w:fill="F3F6F8"/>
          </w:tcPr>
          <w:p>
            <w:pPr>
              <w:spacing w:after="0" w:before="0" w:line="252" w:lineRule="auto"/>
              <w:jc w:val="right"/>
            </w:pPr>
            <w:r>
              <w:rPr>
                <w:b w:val="0"/>
                <w:color w:val="000000"/>
                <w:sz w:val="20"/>
              </w:rPr>
              <w:t>88 759 FCFA</w:t>
            </w:r>
          </w:p>
        </w:tc>
      </w:tr>
      <w:tr>
        <w:trPr>
          <w:cantSplit/>
        </w:trPr>
        <w:tc>
          <w:tcPr>
            <w:tcW w:type="dxa" w:w="3312"/>
            <w:vAlign w:val="center"/>
            <w:tcMar>
              <w:top w:w="70" w:type="dxa"/>
              <w:bottom w:w="70" w:type="dxa"/>
              <w:left w:w="100" w:type="dxa"/>
              <w:right w:w="100" w:type="dxa"/>
            </w:tcMar>
            <w:shd w:fill="FFFFFF"/>
          </w:tcPr>
          <w:p>
            <w:pPr>
              <w:spacing w:after="0" w:before="0" w:line="252" w:lineRule="auto"/>
              <w:jc w:val="left"/>
            </w:pPr>
            <w:r>
              <w:rPr>
                <w:b w:val="0"/>
                <w:color w:val="000000"/>
                <w:sz w:val="20"/>
              </w:rPr>
              <w:t>1000</w:t>
            </w:r>
          </w:p>
        </w:tc>
        <w:tc>
          <w:tcPr>
            <w:tcW w:type="dxa" w:w="2880"/>
            <w:vAlign w:val="center"/>
            <w:tcMar>
              <w:top w:w="70" w:type="dxa"/>
              <w:bottom w:w="70" w:type="dxa"/>
              <w:left w:w="100" w:type="dxa"/>
              <w:right w:w="100" w:type="dxa"/>
            </w:tcMar>
            <w:shd w:fill="FFFFFF"/>
          </w:tcPr>
          <w:p>
            <w:pPr>
              <w:spacing w:after="0" w:before="0" w:line="252" w:lineRule="auto"/>
              <w:jc w:val="left"/>
            </w:pPr>
            <w:r>
              <w:rPr>
                <w:b w:val="0"/>
                <w:color w:val="000000"/>
                <w:sz w:val="20"/>
              </w:rPr>
              <w:t>40 000</w:t>
            </w:r>
          </w:p>
        </w:tc>
        <w:tc>
          <w:tcPr>
            <w:tcW w:type="dxa" w:w="4176"/>
            <w:vAlign w:val="center"/>
            <w:tcMar>
              <w:top w:w="70" w:type="dxa"/>
              <w:bottom w:w="70" w:type="dxa"/>
              <w:left w:w="100" w:type="dxa"/>
              <w:right w:w="100" w:type="dxa"/>
            </w:tcMar>
            <w:shd w:fill="FFFFFF"/>
          </w:tcPr>
          <w:p>
            <w:pPr>
              <w:spacing w:after="0" w:before="0" w:line="252" w:lineRule="auto"/>
              <w:jc w:val="right"/>
            </w:pPr>
            <w:r>
              <w:rPr>
                <w:b w:val="0"/>
                <w:color w:val="000000"/>
                <w:sz w:val="20"/>
              </w:rPr>
              <w:t>114 759 FCFA</w:t>
            </w:r>
          </w:p>
        </w:tc>
      </w:tr>
    </w:tbl>
    <w:p>
      <w:pPr>
        <w:spacing w:before="100"/>
      </w:pPr>
      <w:r>
        <w:rPr>
          <w:b w:val="0"/>
          <w:sz w:val="19"/>
        </w:rPr>
        <w:t>À 1 000 SMS, prévoir environ 115 000 FCFA. Les prix des offres supérieures eSMS ne sont pas présumés accessibles sans leurs conditions de volume.</w:t>
      </w:r>
    </w:p>
    <w:p>
      <w:pPr>
        <w:pStyle w:val="Heading1"/>
      </w:pPr>
      <w:r>
        <w:rPr>
          <w:b w:val="0"/>
        </w:rPr>
        <w:t>Périmètre financier</w:t>
      </w:r>
    </w:p>
    <w:p>
      <w:r>
        <w:rPr>
          <w:sz w:val="19"/>
        </w:rPr>
        <w:t>Hors total : développement et intégration, audit indépendant, conseil juridique, rémunération Ops Finance SOS, SIM et forfaits data, téléphones, déplacements et frais d’activation non publiés. La provision ne remplace pas ces devis. Le pays de facturation déterminera les taxes dues. Les abonnements mensuels seront à résilier si l’essai s’arrête.</w:t>
      </w:r>
    </w:p>
    <w:p>
      <w:r>
        <w:rPr>
          <w:b w:val="0"/>
          <w:sz w:val="19"/>
        </w:rPr>
        <w:t>Le stockage reste chez Supabase. Ses sauvegardes de base n’incluent pas les fichiers Storage : leur copie et leur restauration doivent être prévues. Aucun abonnement externe ni option PITR n’est ajouté ici [1].</w:t>
      </w:r>
    </w:p>
    <w:p>
      <w:pPr>
        <w:pStyle w:val="Heading1"/>
      </w:pPr>
      <w:r>
        <w:rPr>
          <w:b w:val="0"/>
        </w:rPr>
        <w:t>Sources officielles</w:t>
      </w:r>
    </w:p>
    <w:p>
      <w:pPr>
        <w:spacing w:after="40" w:line="240" w:lineRule="auto"/>
      </w:pPr>
      <w:r>
        <w:rPr>
          <w:sz w:val="19"/>
        </w:rPr>
        <w:t xml:space="preserve">[1] </w:t>
      </w:r>
      <w:hyperlink r:id="rId9">
        <w:r>
          <w:rPr>
            <w:color w:val="17324D"/>
            <w:sz w:val="19"/>
          </w:rPr>
          <w:t>Supabase Pro et quotas</w:t>
        </w:r>
      </w:hyperlink>
      <w:r>
        <w:rPr>
          <w:sz w:val="19"/>
        </w:rPr>
        <w:t xml:space="preserve"> • </w:t>
      </w:r>
      <w:hyperlink r:id="rId10">
        <w:r>
          <w:rPr>
            <w:color w:val="17324D"/>
            <w:sz w:val="19"/>
          </w:rPr>
          <w:t>Sauvegardes et limites Storage</w:t>
        </w:r>
      </w:hyperlink>
    </w:p>
    <w:p>
      <w:pPr>
        <w:spacing w:after="40" w:line="240" w:lineRule="auto"/>
      </w:pPr>
      <w:r>
        <w:rPr>
          <w:sz w:val="19"/>
        </w:rPr>
        <w:t xml:space="preserve">[2] </w:t>
      </w:r>
      <w:hyperlink r:id="rId11">
        <w:r>
          <w:rPr>
            <w:color w:val="17324D"/>
            <w:sz w:val="19"/>
          </w:rPr>
          <w:t>Vercel Pro et usage commercial</w:t>
        </w:r>
      </w:hyperlink>
    </w:p>
    <w:p>
      <w:pPr>
        <w:spacing w:after="40" w:line="240" w:lineRule="auto"/>
      </w:pPr>
      <w:r>
        <w:rPr>
          <w:sz w:val="19"/>
        </w:rPr>
        <w:t xml:space="preserve">[3] </w:t>
      </w:r>
      <w:hyperlink r:id="rId12">
        <w:r>
          <w:rPr>
            <w:color w:val="17324D"/>
            <w:sz w:val="19"/>
          </w:rPr>
          <w:t>Catalogue public OVH FR pour VPS 2 2027</w:t>
        </w:r>
      </w:hyperlink>
    </w:p>
    <w:p>
      <w:pPr>
        <w:spacing w:after="40" w:line="240" w:lineRule="auto"/>
      </w:pPr>
      <w:r>
        <w:rPr>
          <w:sz w:val="19"/>
        </w:rPr>
        <w:t xml:space="preserve">[4] </w:t>
      </w:r>
      <w:hyperlink r:id="rId13">
        <w:r>
          <w:rPr>
            <w:color w:val="17324D"/>
            <w:sz w:val="19"/>
          </w:rPr>
          <w:t>Expo EAS tarifs</w:t>
        </w:r>
      </w:hyperlink>
      <w:r>
        <w:rPr>
          <w:sz w:val="19"/>
        </w:rPr>
        <w:t xml:space="preserve"> • </w:t>
      </w:r>
      <w:hyperlink r:id="rId14">
        <w:r>
          <w:rPr>
            <w:color w:val="17324D"/>
            <w:sz w:val="19"/>
          </w:rPr>
          <w:t>Facturation des builds</w:t>
        </w:r>
      </w:hyperlink>
    </w:p>
    <w:p>
      <w:pPr>
        <w:spacing w:after="40" w:line="240" w:lineRule="auto"/>
      </w:pPr>
      <w:r>
        <w:rPr>
          <w:sz w:val="19"/>
        </w:rPr>
        <w:t xml:space="preserve">[5] </w:t>
      </w:r>
      <w:hyperlink r:id="rId15">
        <w:r>
          <w:rPr>
            <w:color w:val="17324D"/>
            <w:sz w:val="19"/>
          </w:rPr>
          <w:t>eSMS Africa Gabon</w:t>
        </w:r>
      </w:hyperlink>
    </w:p>
    <w:p>
      <w:pPr>
        <w:spacing w:after="40" w:line="240" w:lineRule="auto"/>
      </w:pPr>
      <w:r>
        <w:rPr>
          <w:sz w:val="19"/>
        </w:rPr>
        <w:t xml:space="preserve">[6] </w:t>
      </w:r>
      <w:hyperlink r:id="rId16">
        <w:r>
          <w:rPr>
            <w:color w:val="17324D"/>
            <w:sz w:val="19"/>
          </w:rPr>
          <w:t>OVH domaine com création et renouvellement</w:t>
        </w:r>
      </w:hyperlink>
    </w:p>
    <w:p>
      <w:pPr>
        <w:spacing w:after="40" w:line="240" w:lineRule="auto"/>
      </w:pPr>
      <w:r>
        <w:rPr>
          <w:sz w:val="19"/>
        </w:rPr>
        <w:t xml:space="preserve">[7] </w:t>
      </w:r>
      <w:hyperlink r:id="rId17">
        <w:r>
          <w:rPr>
            <w:color w:val="17324D"/>
            <w:sz w:val="19"/>
          </w:rPr>
          <w:t>Resend tarifs SMTP</w:t>
        </w:r>
      </w:hyperlink>
    </w:p>
    <w:p>
      <w:pPr>
        <w:spacing w:after="40" w:line="240" w:lineRule="auto"/>
      </w:pPr>
      <w:r>
        <w:rPr>
          <w:sz w:val="19"/>
        </w:rPr>
        <w:t xml:space="preserve">[8] </w:t>
      </w:r>
      <w:hyperlink r:id="rId18">
        <w:r>
          <w:rPr>
            <w:color w:val="17324D"/>
            <w:sz w:val="19"/>
          </w:rPr>
          <w:t>Expo Push gratuit</w:t>
        </w:r>
      </w:hyperlink>
      <w:r>
        <w:rPr>
          <w:sz w:val="19"/>
        </w:rPr>
        <w:t xml:space="preserve"> • </w:t>
      </w:r>
      <w:hyperlink r:id="rId19">
        <w:r>
          <w:rPr>
            <w:color w:val="17324D"/>
            <w:sz w:val="19"/>
          </w:rPr>
          <w:t>FCM et distribution Firebase</w:t>
        </w:r>
      </w:hyperlink>
    </w:p>
    <w:p>
      <w:pPr>
        <w:spacing w:after="40" w:line="240" w:lineRule="auto"/>
      </w:pPr>
      <w:r>
        <w:rPr>
          <w:sz w:val="19"/>
        </w:rPr>
        <w:t xml:space="preserve">[9] </w:t>
      </w:r>
      <w:hyperlink r:id="rId20">
        <w:r>
          <w:rPr>
            <w:color w:val="17324D"/>
            <w:sz w:val="19"/>
          </w:rPr>
          <w:t>Sentry avec Expo</w:t>
        </w:r>
      </w:hyperlink>
      <w:r>
        <w:rPr>
          <w:sz w:val="19"/>
        </w:rPr>
        <w:t xml:space="preserve"> • </w:t>
      </w:r>
      <w:hyperlink r:id="rId21">
        <w:r>
          <w:rPr>
            <w:color w:val="17324D"/>
            <w:sz w:val="19"/>
          </w:rPr>
          <w:t>Better Stack tarifs et éligibilité</w:t>
        </w:r>
      </w:hyperlink>
    </w:p>
    <w:p>
      <w:pPr>
        <w:spacing w:after="40" w:line="240" w:lineRule="auto"/>
      </w:pPr>
      <w:r>
        <w:rPr>
          <w:sz w:val="19"/>
        </w:rPr>
        <w:t xml:space="preserve">[10] </w:t>
      </w:r>
      <w:hyperlink r:id="rId22">
        <w:r>
          <w:rPr>
            <w:color w:val="17324D"/>
            <w:sz w:val="19"/>
          </w:rPr>
          <w:t>BCE taux de référence du 22 octobre 2026</w:t>
        </w:r>
      </w:hyperlink>
      <w:r>
        <w:rPr>
          <w:sz w:val="19"/>
        </w:rPr>
        <w:t xml:space="preserve"> • </w:t>
      </w:r>
      <w:hyperlink r:id="rId23">
        <w:r>
          <w:rPr>
            <w:color w:val="17324D"/>
            <w:sz w:val="19"/>
          </w:rPr>
          <w:t>BEAC parité euro FCFA</w:t>
        </w:r>
      </w:hyperlink>
    </w:p>
    <w:p>
      <w:pPr>
        <w:spacing w:after="40" w:line="240" w:lineRule="auto"/>
      </w:pPr>
      <w:r>
        <w:rPr>
          <w:sz w:val="19"/>
        </w:rPr>
        <w:t xml:space="preserve">[11] </w:t>
      </w:r>
      <w:hyperlink r:id="rId24">
        <w:r>
          <w:rPr>
            <w:color w:val="17324D"/>
            <w:sz w:val="19"/>
          </w:rPr>
          <w:t>Scaleway tarifs entrés en vigueur en juin 2026</w:t>
        </w:r>
      </w:hyperlink>
    </w:p>
    <w:sectPr w:rsidR="00FC693F" w:rsidRPr="0006063C" w:rsidSect="00034616">
      <w:footerReference w:type="default" r:id="rId25"/>
      <w:pgSz w:w="12240" w:h="15840"/>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Teko • Budget des services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upabase.com/pricing" TargetMode="External"/><Relationship Id="rId10" Type="http://schemas.openxmlformats.org/officeDocument/2006/relationships/hyperlink" Target="https://supabase.com/docs/guides/platform/backups" TargetMode="External"/><Relationship Id="rId11" Type="http://schemas.openxmlformats.org/officeDocument/2006/relationships/hyperlink" Target="https://vercel.com/pricing" TargetMode="External"/><Relationship Id="rId12" Type="http://schemas.openxmlformats.org/officeDocument/2006/relationships/hyperlink" Target="https://www.ovh.com/engine/apiv6/order/catalog/public/vps?ovhSubsidiary=FR" TargetMode="External"/><Relationship Id="rId13" Type="http://schemas.openxmlformats.org/officeDocument/2006/relationships/hyperlink" Target="https://expo.dev/pricing" TargetMode="External"/><Relationship Id="rId14" Type="http://schemas.openxmlformats.org/officeDocument/2006/relationships/hyperlink" Target="https://docs.expo.dev/billing/usage-based-pricing/" TargetMode="External"/><Relationship Id="rId15" Type="http://schemas.openxmlformats.org/officeDocument/2006/relationships/hyperlink" Target="https://esmsafrica.io/sms-api/gabon" TargetMode="External"/><Relationship Id="rId16" Type="http://schemas.openxmlformats.org/officeDocument/2006/relationships/hyperlink" Target="https://www.ovhcloud.com/fr/domains/tld/com/" TargetMode="External"/><Relationship Id="rId17" Type="http://schemas.openxmlformats.org/officeDocument/2006/relationships/hyperlink" Target="https://resend.com/pricing" TargetMode="External"/><Relationship Id="rId18" Type="http://schemas.openxmlformats.org/officeDocument/2006/relationships/hyperlink" Target="https://docs.expo.dev/push-notifications/faq/" TargetMode="External"/><Relationship Id="rId19" Type="http://schemas.openxmlformats.org/officeDocument/2006/relationships/hyperlink" Target="https://firebase.google.com/pricing" TargetMode="External"/><Relationship Id="rId20" Type="http://schemas.openxmlformats.org/officeDocument/2006/relationships/hyperlink" Target="https://docs.expo.dev/guides/using-sentry/" TargetMode="External"/><Relationship Id="rId21" Type="http://schemas.openxmlformats.org/officeDocument/2006/relationships/hyperlink" Target="https://betterstack.com/pricing" TargetMode="External"/><Relationship Id="rId22" Type="http://schemas.openxmlformats.org/officeDocument/2006/relationships/hyperlink" Target="https://www.ecb.europa.eu/stats/eurofxref/eurofxref-daily.xml" TargetMode="External"/><Relationship Id="rId23" Type="http://schemas.openxmlformats.org/officeDocument/2006/relationships/hyperlink" Target="https://www.beac.int/" TargetMode="External"/><Relationship Id="rId24" Type="http://schemas.openxmlformats.org/officeDocument/2006/relationships/hyperlink" Target="https://www.scaleway.com/en/blog/a-transparent-update-on-scaleway-pricing/"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Teko pour un mois de tests</dc:title>
  <dc:subject>Estimation des services pour dix chauffeurs Android à Libreville sur un mois</dc:subject>
  <dc:creator>Teko</dc:creator>
  <cp:keywords/>
  <dc:description>generated by python-docx</dc:description>
  <cp:lastModifiedBy/>
  <cp:revision>1</cp:revision>
  <dcterms:created xsi:type="dcterms:W3CDTF">2013-12-23T23:15:00Z</dcterms:created>
  <dcterms:modified xsi:type="dcterms:W3CDTF">2013-12-23T23:15:00Z</dcterms:modified>
  <cp:category/>
</cp:coreProperties>
</file>