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3C34" w:rsidRDefault="00393C34"/>
    <w:p w:rsidR="008A3334" w:rsidRPr="008A3334" w:rsidRDefault="008A3334" w:rsidP="008A3334"/>
    <w:p w:rsidR="008A3334" w:rsidRPr="008A3334" w:rsidRDefault="008A3334" w:rsidP="008A3334"/>
    <w:p w:rsidR="008A3334" w:rsidRPr="008A3334" w:rsidRDefault="008A3334" w:rsidP="008A3334"/>
    <w:p w:rsidR="008A3334" w:rsidRPr="008A3334" w:rsidRDefault="008A3334" w:rsidP="008A3334"/>
    <w:p w:rsidR="008A3334" w:rsidRPr="008A3334" w:rsidRDefault="008A3334" w:rsidP="008A3334"/>
    <w:p w:rsidR="008A3334" w:rsidRPr="008A3334" w:rsidRDefault="008A3334" w:rsidP="008A3334"/>
    <w:p w:rsidR="008A3334" w:rsidRDefault="008A3334" w:rsidP="008A3334"/>
    <w:p w:rsidR="008A3334" w:rsidRPr="008A3334" w:rsidRDefault="008A3334" w:rsidP="008A3334">
      <w:pPr>
        <w:pStyle w:val="Heading3"/>
        <w:rPr>
          <w:rFonts w:ascii="Helvetica" w:hAnsi="Helvetica"/>
          <w:color w:val="000000"/>
        </w:rPr>
      </w:pPr>
      <w:r>
        <w:tab/>
      </w:r>
      <w:r w:rsidRPr="008A3334">
        <w:rPr>
          <w:rFonts w:ascii="Helvetica" w:hAnsi="Helvetica"/>
          <w:color w:val="000000"/>
        </w:rPr>
        <w:t>Central open technical question</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'Does the </w:t>
      </w:r>
      <w:proofErr w:type="spellStart"/>
      <w:r w:rsidRPr="008A3334">
        <w:rPr>
          <w:rFonts w:ascii="Helvetica" w:eastAsia="Times New Roman" w:hAnsi="Helvetica" w:cs="Times New Roman"/>
          <w:color w:val="000000"/>
          <w:kern w:val="0"/>
          <w:sz w:val="18"/>
          <w:szCs w:val="18"/>
          <w14:ligatures w14:val="none"/>
        </w:rPr>
        <w:t>SuperLink</w:t>
      </w:r>
      <w:proofErr w:type="spellEnd"/>
      <w:r w:rsidRPr="008A3334">
        <w:rPr>
          <w:rFonts w:ascii="Helvetica" w:eastAsia="Times New Roman" w:hAnsi="Helvetica" w:cs="Times New Roman"/>
          <w:color w:val="000000"/>
          <w:kern w:val="0"/>
          <w:sz w:val="18"/>
          <w:szCs w:val="18"/>
          <w14:ligatures w14:val="none"/>
        </w:rPr>
        <w:t>, or Flower Labs, at any point have isolated access to individual practices' gradients or other individual contributions — or, as a result of the secure aggregation implementation, is only the joint aggregate ever accessible? The answer to this question is materially decisive both for the question of personal data in the AI training path (see No. 1 above) and for the allocation of data protection roles at the aggregation level (see No. 2 of the full assessment — </w:t>
      </w:r>
      <w:r w:rsidRPr="008A3334">
        <w:rPr>
          <w:rFonts w:ascii="Helvetica" w:eastAsia="Times New Roman" w:hAnsi="Helvetica" w:cs="Times New Roman"/>
          <w:i/>
          <w:iCs/>
          <w:color w:val="000000"/>
          <w:kern w:val="0"/>
          <w:sz w:val="18"/>
          <w:szCs w:val="18"/>
          <w14:ligatures w14:val="none"/>
        </w:rPr>
        <w:t>the allocation of responsibility/processor status under Art. 26/28 GDPR, not reproduced in this excerpt</w:t>
      </w:r>
      <w:r w:rsidRPr="008A3334">
        <w:rPr>
          <w:rFonts w:ascii="Helvetica" w:eastAsia="Times New Roman" w:hAnsi="Helvetica" w:cs="Times New Roman"/>
          <w:color w:val="000000"/>
          <w:kern w:val="0"/>
          <w:sz w:val="18"/>
          <w:szCs w:val="18"/>
          <w14:ligatures w14:val="none"/>
        </w:rPr>
        <w:t>).'</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Please contact me if you would like to discuss this further or have any additional questions.</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Best, </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Nico</w:t>
      </w:r>
    </w:p>
    <w:p w:rsidR="008A3334" w:rsidRPr="008A3334" w:rsidRDefault="008A3334" w:rsidP="008A3334">
      <w:pPr>
        <w:rPr>
          <w:rFonts w:ascii="Helvetica" w:eastAsia="Times New Roman" w:hAnsi="Helvetica" w:cs="Times New Roman"/>
          <w:color w:val="000000"/>
          <w:kern w:val="0"/>
          <w:sz w:val="18"/>
          <w:szCs w:val="18"/>
          <w14:ligatures w14:val="none"/>
        </w:rPr>
      </w:pPr>
    </w:p>
    <w:p w:rsidR="008A3334" w:rsidRPr="008A3334" w:rsidRDefault="008A3334" w:rsidP="008A3334">
      <w:pPr>
        <w:rPr>
          <w:rFonts w:ascii="Helvetica" w:eastAsia="Times New Roman" w:hAnsi="Helvetica" w:cs="Times New Roman"/>
          <w:color w:val="000000"/>
          <w:kern w:val="0"/>
          <w:sz w:val="18"/>
          <w:szCs w:val="18"/>
          <w14:ligatures w14:val="none"/>
        </w:rPr>
      </w:pPr>
    </w:p>
    <w:p w:rsidR="008A3334" w:rsidRPr="008A3334" w:rsidRDefault="008A3334" w:rsidP="008A3334">
      <w:pPr>
        <w:spacing w:before="100" w:beforeAutospacing="1" w:after="100" w:afterAutospacing="1"/>
        <w:outlineLvl w:val="2"/>
        <w:rPr>
          <w:rFonts w:ascii="Helvetica" w:eastAsia="Times New Roman" w:hAnsi="Helvetica" w:cs="Times New Roman"/>
          <w:b/>
          <w:bCs/>
          <w:color w:val="000000"/>
          <w:kern w:val="0"/>
          <w:sz w:val="27"/>
          <w:szCs w:val="27"/>
          <w14:ligatures w14:val="none"/>
        </w:rPr>
      </w:pPr>
    </w:p>
    <w:p w:rsidR="008A3334" w:rsidRPr="008A3334" w:rsidRDefault="008A3334" w:rsidP="008A3334">
      <w:pPr>
        <w:spacing w:before="100" w:beforeAutospacing="1" w:after="100" w:afterAutospacing="1"/>
        <w:outlineLvl w:val="0"/>
        <w:rPr>
          <w:rFonts w:ascii="Helvetica" w:eastAsia="Times New Roman" w:hAnsi="Helvetica" w:cs="Times New Roman"/>
          <w:b/>
          <w:bCs/>
          <w:color w:val="000000"/>
          <w:kern w:val="36"/>
          <w:sz w:val="48"/>
          <w:szCs w:val="48"/>
          <w14:ligatures w14:val="none"/>
        </w:rPr>
      </w:pPr>
      <w:r w:rsidRPr="008A3334">
        <w:rPr>
          <w:rFonts w:ascii="Helvetica" w:eastAsia="Times New Roman" w:hAnsi="Helvetica" w:cs="Times New Roman"/>
          <w:b/>
          <w:bCs/>
          <w:color w:val="000000"/>
          <w:kern w:val="36"/>
          <w:sz w:val="48"/>
          <w:szCs w:val="48"/>
          <w14:ligatures w14:val="none"/>
        </w:rPr>
        <w:t>FLIP-IT — Preliminary Legal Assessment (English working translation)</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i/>
          <w:iCs/>
          <w:color w:val="000000"/>
          <w:kern w:val="0"/>
          <w:sz w:val="18"/>
          <w:szCs w:val="18"/>
          <w14:ligatures w14:val="none"/>
        </w:rPr>
        <w:t xml:space="preserve">Working translation of the German original (J. </w:t>
      </w:r>
      <w:proofErr w:type="spellStart"/>
      <w:r w:rsidRPr="008A3334">
        <w:rPr>
          <w:rFonts w:ascii="Helvetica" w:eastAsia="Times New Roman" w:hAnsi="Helvetica" w:cs="Times New Roman"/>
          <w:i/>
          <w:iCs/>
          <w:color w:val="000000"/>
          <w:kern w:val="0"/>
          <w:sz w:val="18"/>
          <w:szCs w:val="18"/>
          <w14:ligatures w14:val="none"/>
        </w:rPr>
        <w:t>Flötotto</w:t>
      </w:r>
      <w:proofErr w:type="spellEnd"/>
      <w:r w:rsidRPr="008A3334">
        <w:rPr>
          <w:rFonts w:ascii="Helvetica" w:eastAsia="Times New Roman" w:hAnsi="Helvetica" w:cs="Times New Roman"/>
          <w:i/>
          <w:iCs/>
          <w:color w:val="000000"/>
          <w:kern w:val="0"/>
          <w:sz w:val="18"/>
          <w:szCs w:val="18"/>
          <w14:ligatures w14:val="none"/>
        </w:rPr>
        <w:t>, 10 August 2026). The German text is authoritative; this version is provided for technical discussion.</w:t>
      </w:r>
    </w:p>
    <w:p w:rsidR="008A3334" w:rsidRPr="008A3334" w:rsidRDefault="008A3334" w:rsidP="008A3334">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8A3334">
        <w:rPr>
          <w:rFonts w:ascii="Helvetica" w:eastAsia="Times New Roman" w:hAnsi="Helvetica" w:cs="Times New Roman"/>
          <w:b/>
          <w:bCs/>
          <w:color w:val="000000"/>
          <w:kern w:val="0"/>
          <w:sz w:val="36"/>
          <w:szCs w:val="36"/>
          <w14:ligatures w14:val="none"/>
        </w:rPr>
        <w:t>Preliminary remark and caveat</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At your request, this paper </w:t>
      </w:r>
      <w:proofErr w:type="spellStart"/>
      <w:r w:rsidRPr="008A3334">
        <w:rPr>
          <w:rFonts w:ascii="Helvetica" w:eastAsia="Times New Roman" w:hAnsi="Helvetica" w:cs="Times New Roman"/>
          <w:color w:val="000000"/>
          <w:kern w:val="0"/>
          <w:sz w:val="18"/>
          <w:szCs w:val="18"/>
          <w14:ligatures w14:val="none"/>
        </w:rPr>
        <w:t>summarises</w:t>
      </w:r>
      <w:proofErr w:type="spellEnd"/>
      <w:r w:rsidRPr="008A3334">
        <w:rPr>
          <w:rFonts w:ascii="Helvetica" w:eastAsia="Times New Roman" w:hAnsi="Helvetica" w:cs="Times New Roman"/>
          <w:color w:val="000000"/>
          <w:kern w:val="0"/>
          <w:sz w:val="18"/>
          <w:szCs w:val="18"/>
          <w14:ligatures w14:val="none"/>
        </w:rPr>
        <w:t xml:space="preserve"> an initial, cursory assessment of the principal legal questions raised by FLIP-IT, based on the facts as they currently stand (as of 10 August 2026) and on the scope of review set out in Section G of that statement of facts. For the time being I have assessed the matter on a deliberately conservative basis. This should be kept in mind whenever the paper is used.</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This is expressly </w:t>
      </w:r>
      <w:r w:rsidRPr="008A3334">
        <w:rPr>
          <w:rFonts w:ascii="Helvetica" w:eastAsia="Times New Roman" w:hAnsi="Helvetica" w:cs="Times New Roman"/>
          <w:b/>
          <w:bCs/>
          <w:color w:val="000000"/>
          <w:kern w:val="0"/>
          <w:sz w:val="18"/>
          <w:szCs w:val="18"/>
          <w14:ligatures w14:val="none"/>
        </w:rPr>
        <w:t>not</w:t>
      </w:r>
      <w:r w:rsidRPr="008A3334">
        <w:rPr>
          <w:rFonts w:ascii="Helvetica" w:eastAsia="Times New Roman" w:hAnsi="Helvetica" w:cs="Times New Roman"/>
          <w:color w:val="000000"/>
          <w:kern w:val="0"/>
          <w:sz w:val="18"/>
          <w:szCs w:val="18"/>
          <w14:ligatures w14:val="none"/>
        </w:rPr>
        <w:t xml:space="preserve"> the definitive initial legal opinion (Milestone M1), but a provisional orientation based on the current state of knowledge. The assessments are subject to the more detailed review still to be carried out, which will cover the factual points that remain open — including the technical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parameters, the status of the data </w:t>
      </w:r>
      <w:r w:rsidRPr="008A3334">
        <w:rPr>
          <w:rFonts w:ascii="Helvetica" w:eastAsia="Times New Roman" w:hAnsi="Helvetica" w:cs="Times New Roman"/>
          <w:color w:val="000000"/>
          <w:kern w:val="0"/>
          <w:sz w:val="18"/>
          <w:szCs w:val="18"/>
          <w14:ligatures w14:val="none"/>
        </w:rPr>
        <w:lastRenderedPageBreak/>
        <w:t xml:space="preserve">protection impact assessment (DPIA), the contractual allocation of roles between </w:t>
      </w:r>
      <w:proofErr w:type="spellStart"/>
      <w:r w:rsidRPr="008A3334">
        <w:rPr>
          <w:rFonts w:ascii="Helvetica" w:eastAsia="Times New Roman" w:hAnsi="Helvetica" w:cs="Times New Roman"/>
          <w:color w:val="000000"/>
          <w:kern w:val="0"/>
          <w:sz w:val="18"/>
          <w:szCs w:val="18"/>
          <w14:ligatures w14:val="none"/>
        </w:rPr>
        <w:t>docport</w:t>
      </w:r>
      <w:proofErr w:type="spellEnd"/>
      <w:r w:rsidRPr="008A3334">
        <w:rPr>
          <w:rFonts w:ascii="Helvetica" w:eastAsia="Times New Roman" w:hAnsi="Helvetica" w:cs="Times New Roman"/>
          <w:color w:val="000000"/>
          <w:kern w:val="0"/>
          <w:sz w:val="18"/>
          <w:szCs w:val="18"/>
          <w14:ligatures w14:val="none"/>
        </w:rPr>
        <w:t xml:space="preserve"> and IKIM, and a detailed analysis under the EU AI Act — and which will be continued as part of M1. For public statements at the workshop, correspondingly marked restraint is advisable on all points.</w:t>
      </w:r>
    </w:p>
    <w:p w:rsidR="008A3334" w:rsidRPr="008A3334" w:rsidRDefault="008A3334" w:rsidP="008A3334">
      <w:pPr>
        <w:spacing w:before="100" w:beforeAutospacing="1" w:after="100" w:afterAutospacing="1"/>
        <w:outlineLvl w:val="1"/>
        <w:rPr>
          <w:rFonts w:ascii="Helvetica" w:eastAsia="Times New Roman" w:hAnsi="Helvetica" w:cs="Times New Roman"/>
          <w:b/>
          <w:bCs/>
          <w:color w:val="000000"/>
          <w:kern w:val="0"/>
          <w:sz w:val="36"/>
          <w:szCs w:val="36"/>
          <w14:ligatures w14:val="none"/>
        </w:rPr>
      </w:pPr>
      <w:r w:rsidRPr="008A3334">
        <w:rPr>
          <w:rFonts w:ascii="Helvetica" w:eastAsia="Times New Roman" w:hAnsi="Helvetica" w:cs="Times New Roman"/>
          <w:b/>
          <w:bCs/>
          <w:color w:val="000000"/>
          <w:kern w:val="0"/>
          <w:sz w:val="36"/>
          <w:szCs w:val="36"/>
          <w14:ligatures w14:val="none"/>
        </w:rPr>
        <w:t>Brief assessment by question (Section G of the statement of facts)</w:t>
      </w:r>
    </w:p>
    <w:p w:rsidR="008A3334" w:rsidRPr="008A3334" w:rsidRDefault="008A3334" w:rsidP="008A3334">
      <w:pPr>
        <w:spacing w:before="100" w:beforeAutospacing="1" w:after="100" w:afterAutospacing="1"/>
        <w:outlineLvl w:val="2"/>
        <w:rPr>
          <w:rFonts w:ascii="Helvetica" w:eastAsia="Times New Roman" w:hAnsi="Helvetica" w:cs="Times New Roman"/>
          <w:b/>
          <w:bCs/>
          <w:color w:val="000000"/>
          <w:kern w:val="0"/>
          <w:sz w:val="27"/>
          <w:szCs w:val="27"/>
          <w14:ligatures w14:val="none"/>
        </w:rPr>
      </w:pPr>
      <w:r w:rsidRPr="008A3334">
        <w:rPr>
          <w:rFonts w:ascii="Helvetica" w:eastAsia="Times New Roman" w:hAnsi="Helvetica" w:cs="Times New Roman"/>
          <w:b/>
          <w:bCs/>
          <w:color w:val="000000"/>
          <w:kern w:val="0"/>
          <w:sz w:val="27"/>
          <w:szCs w:val="27"/>
          <w14:ligatures w14:val="none"/>
        </w:rPr>
        <w:t>1. GDPR — Personal data (Art. 4(1) GDPR)</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The information transmitted within FLIP-IT differs considerably between the two data paths. Whereas the federated analytics path transmits aggregated indicator vectors, the AI training path transmits parameter updates generated by local model training (gradients or weight deltas). The fact that this information does not contain the original patient data, and is transmitted in part in aggregated and/or cryptographically protected form, does not in itself mean that it ceases to be personal data within the meaning of Art. 4(1) GDPR.</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What is decisive under Art. 4(1) GDPR read together with Recital 26 is rather whether the data subjects concerned remain identifiable, taking account of all the means reasonably likely to be used either by the actor in question or by a third party. Under Guidelines 02/2026 of the European Data Protection Board (EDPB) on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 published for public consultation on 8 July 2026 and not yet final, with the consultation period running until 30 October 2026 — this assessment is to be made contextually, from the perspective of the relevant recipients or processors in each case; in particular, linkage, inference and de-aggregation possibilities may have to be taken into account. The EDPB expressly points out that, in certain circumstances, personal information can be derived even from aggregated data.</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This basic premise is also consistent with the expert opinion submitted on </w:t>
      </w:r>
      <w:proofErr w:type="spellStart"/>
      <w:r w:rsidRPr="008A3334">
        <w:rPr>
          <w:rFonts w:ascii="Helvetica" w:eastAsia="Times New Roman" w:hAnsi="Helvetica" w:cs="Times New Roman"/>
          <w:color w:val="000000"/>
          <w:kern w:val="0"/>
          <w:sz w:val="18"/>
          <w:szCs w:val="18"/>
          <w14:ligatures w14:val="none"/>
        </w:rPr>
        <w:t>CheCKD</w:t>
      </w:r>
      <w:proofErr w:type="spellEnd"/>
      <w:r w:rsidRPr="008A3334">
        <w:rPr>
          <w:rFonts w:ascii="Helvetica" w:eastAsia="Times New Roman" w:hAnsi="Helvetica" w:cs="Times New Roman"/>
          <w:color w:val="000000"/>
          <w:kern w:val="0"/>
          <w:sz w:val="18"/>
          <w:szCs w:val="18"/>
          <w14:ligatures w14:val="none"/>
        </w:rPr>
        <w:t>. That opinion expressly notes that aggregated statistics may permit inferences about individuals where case numbers are small or where combinations of attributes are rare; it therefore requires minimum cell counts, suppression and, where appropriate, further statistical safeguards. For more heavily segmented data it additionally refers to noise injection or differential privacy and to a k-anonymity criterion.</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For the </w:t>
      </w:r>
      <w:r w:rsidRPr="008A3334">
        <w:rPr>
          <w:rFonts w:ascii="Helvetica" w:eastAsia="Times New Roman" w:hAnsi="Helvetica" w:cs="Times New Roman"/>
          <w:b/>
          <w:bCs/>
          <w:color w:val="000000"/>
          <w:kern w:val="0"/>
          <w:sz w:val="18"/>
          <w:szCs w:val="18"/>
          <w14:ligatures w14:val="none"/>
        </w:rPr>
        <w:t>federated analytics path</w:t>
      </w:r>
      <w:r w:rsidRPr="008A3334">
        <w:rPr>
          <w:rFonts w:ascii="Helvetica" w:eastAsia="Times New Roman" w:hAnsi="Helvetica" w:cs="Times New Roman"/>
          <w:color w:val="000000"/>
          <w:kern w:val="0"/>
          <w:sz w:val="18"/>
          <w:szCs w:val="18"/>
          <w14:ligatures w14:val="none"/>
        </w:rPr>
        <w:t xml:space="preserve">, there are very good arguments — on the basis of the technical concept described so far — that anonymous results can be achieved at the central level. This is supported in particular by secure aggregation, the suppression of small cells and the secondary suppression provided for. However, legally robust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presupposes that no realistic risk of identification remains even through the combination of repeated or overlapping analyses, through additional knowledge, or through back-calculation from network-level totals. In this respect the expert opinion submitted expressly requires a documented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proof as well as periodic penetration and disclosure testing.</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For the </w:t>
      </w:r>
      <w:r w:rsidRPr="008A3334">
        <w:rPr>
          <w:rFonts w:ascii="Helvetica" w:eastAsia="Times New Roman" w:hAnsi="Helvetica" w:cs="Times New Roman"/>
          <w:b/>
          <w:bCs/>
          <w:color w:val="000000"/>
          <w:kern w:val="0"/>
          <w:sz w:val="18"/>
          <w:szCs w:val="18"/>
          <w14:ligatures w14:val="none"/>
        </w:rPr>
        <w:t>AI training path</w:t>
      </w:r>
      <w:r w:rsidRPr="008A3334">
        <w:rPr>
          <w:rFonts w:ascii="Helvetica" w:eastAsia="Times New Roman" w:hAnsi="Helvetica" w:cs="Times New Roman"/>
          <w:color w:val="000000"/>
          <w:kern w:val="0"/>
          <w:sz w:val="18"/>
          <w:szCs w:val="18"/>
          <w14:ligatures w14:val="none"/>
        </w:rPr>
        <w:t>, by contrast, comparable anonymity cannot yet be robustly established on the current state of knowledge. Gradient or weight updates may contain information about the data used for training. EDPB Opinion 28/2024 addresses trained AI models directly rather than federated-learning gradients specifically; it nevertheless supplies a standard relevant to the present assessment. According to that Opinion, information from the training dataset may persist in the mathematical model parameters and may in some circumstances be extracted or otherwise obtained. In order to treat a model as anonymous, the EDPB therefore requires a case-by-case assessment of extraction and identification risks, and names differential privacy as well as testing against membership inference, model inversion and reconstruction attacks as relevant protective and verification measures.</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For FLIP-IT, precisely those key details that would make such an assessment possible are so far missing. In particular, the following are not yet conclusively documented:</w:t>
      </w:r>
    </w:p>
    <w:p w:rsidR="008A3334" w:rsidRPr="008A3334" w:rsidRDefault="008A3334" w:rsidP="008A3334">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the </w:t>
      </w:r>
      <w:r w:rsidRPr="008A3334">
        <w:rPr>
          <w:rFonts w:ascii="Helvetica" w:eastAsia="Times New Roman" w:hAnsi="Helvetica" w:cs="Times New Roman"/>
          <w:b/>
          <w:bCs/>
          <w:color w:val="000000"/>
          <w:kern w:val="0"/>
          <w:sz w:val="18"/>
          <w:szCs w:val="18"/>
          <w14:ligatures w14:val="none"/>
        </w:rPr>
        <w:t>privacy budget</w:t>
      </w:r>
      <w:r w:rsidRPr="008A3334">
        <w:rPr>
          <w:rFonts w:ascii="Helvetica" w:eastAsia="Times New Roman" w:hAnsi="Helvetica" w:cs="Times New Roman"/>
          <w:color w:val="000000"/>
          <w:kern w:val="0"/>
          <w:sz w:val="18"/>
          <w:szCs w:val="18"/>
          <w14:ligatures w14:val="none"/>
        </w:rPr>
        <w:t> — the parameter ε, where applicable supplemented by δ, which quantifies how much additional risk of re-identification the differential privacy mechanism permits for an individual; the smaller ε, the stronger the protection, but the greater the noise in the model — and the </w:t>
      </w:r>
      <w:r w:rsidRPr="008A3334">
        <w:rPr>
          <w:rFonts w:ascii="Helvetica" w:eastAsia="Times New Roman" w:hAnsi="Helvetica" w:cs="Times New Roman"/>
          <w:b/>
          <w:bCs/>
          <w:color w:val="000000"/>
          <w:kern w:val="0"/>
          <w:sz w:val="18"/>
          <w:szCs w:val="18"/>
          <w14:ligatures w14:val="none"/>
        </w:rPr>
        <w:t>specific configuration of the differential privacy mechanism</w:t>
      </w:r>
      <w:r w:rsidRPr="008A3334">
        <w:rPr>
          <w:rFonts w:ascii="Helvetica" w:eastAsia="Times New Roman" w:hAnsi="Helvetica" w:cs="Times New Roman"/>
          <w:color w:val="000000"/>
          <w:kern w:val="0"/>
          <w:sz w:val="18"/>
          <w:szCs w:val="18"/>
          <w14:ligatures w14:val="none"/>
        </w:rPr>
        <w:t>;</w:t>
      </w:r>
    </w:p>
    <w:p w:rsidR="008A3334" w:rsidRPr="008A3334" w:rsidRDefault="008A3334" w:rsidP="008A3334">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the </w:t>
      </w:r>
      <w:r w:rsidRPr="008A3334">
        <w:rPr>
          <w:rFonts w:ascii="Helvetica" w:eastAsia="Times New Roman" w:hAnsi="Helvetica" w:cs="Times New Roman"/>
          <w:b/>
          <w:bCs/>
          <w:color w:val="000000"/>
          <w:kern w:val="0"/>
          <w:sz w:val="18"/>
          <w:szCs w:val="18"/>
          <w14:ligatures w14:val="none"/>
        </w:rPr>
        <w:t>number and size of the practices or patient cohorts</w:t>
      </w:r>
      <w:r w:rsidRPr="008A3334">
        <w:rPr>
          <w:rFonts w:ascii="Helvetica" w:eastAsia="Times New Roman" w:hAnsi="Helvetica" w:cs="Times New Roman"/>
          <w:color w:val="000000"/>
          <w:kern w:val="0"/>
          <w:sz w:val="18"/>
          <w:szCs w:val="18"/>
          <w14:ligatures w14:val="none"/>
        </w:rPr>
        <w:t> participating in individual training rounds;</w:t>
      </w:r>
    </w:p>
    <w:p w:rsidR="008A3334" w:rsidRPr="008A3334" w:rsidRDefault="008A3334" w:rsidP="008A3334">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lastRenderedPageBreak/>
        <w:t>the </w:t>
      </w:r>
      <w:r w:rsidRPr="008A3334">
        <w:rPr>
          <w:rFonts w:ascii="Helvetica" w:eastAsia="Times New Roman" w:hAnsi="Helvetica" w:cs="Times New Roman"/>
          <w:b/>
          <w:bCs/>
          <w:color w:val="000000"/>
          <w:kern w:val="0"/>
          <w:sz w:val="18"/>
          <w:szCs w:val="18"/>
          <w14:ligatures w14:val="none"/>
        </w:rPr>
        <w:t>applicable training and aggregation configuration</w:t>
      </w:r>
      <w:r w:rsidRPr="008A3334">
        <w:rPr>
          <w:rFonts w:ascii="Helvetica" w:eastAsia="Times New Roman" w:hAnsi="Helvetica" w:cs="Times New Roman"/>
          <w:color w:val="000000"/>
          <w:kern w:val="0"/>
          <w:sz w:val="18"/>
          <w:szCs w:val="18"/>
          <w14:ligatures w14:val="none"/>
        </w:rPr>
        <w:t>;</w:t>
      </w:r>
    </w:p>
    <w:p w:rsidR="008A3334" w:rsidRPr="008A3334" w:rsidRDefault="008A3334" w:rsidP="008A3334">
      <w:pPr>
        <w:numPr>
          <w:ilvl w:val="0"/>
          <w:numId w:val="1"/>
        </w:num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the </w:t>
      </w:r>
      <w:r w:rsidRPr="008A3334">
        <w:rPr>
          <w:rFonts w:ascii="Helvetica" w:eastAsia="Times New Roman" w:hAnsi="Helvetica" w:cs="Times New Roman"/>
          <w:b/>
          <w:bCs/>
          <w:color w:val="000000"/>
          <w:kern w:val="0"/>
          <w:sz w:val="18"/>
          <w:szCs w:val="18"/>
          <w14:ligatures w14:val="none"/>
        </w:rPr>
        <w:t>administrative access, logging and export capabilities</w:t>
      </w:r>
      <w:r w:rsidRPr="008A3334">
        <w:rPr>
          <w:rFonts w:ascii="Helvetica" w:eastAsia="Times New Roman" w:hAnsi="Helvetica" w:cs="Times New Roman"/>
          <w:color w:val="000000"/>
          <w:kern w:val="0"/>
          <w:sz w:val="18"/>
          <w:szCs w:val="18"/>
          <w14:ligatures w14:val="none"/>
        </w:rPr>
        <w:t xml:space="preserve"> on the </w:t>
      </w:r>
      <w:proofErr w:type="spellStart"/>
      <w:r w:rsidRPr="008A3334">
        <w:rPr>
          <w:rFonts w:ascii="Helvetica" w:eastAsia="Times New Roman" w:hAnsi="Helvetica" w:cs="Times New Roman"/>
          <w:color w:val="000000"/>
          <w:kern w:val="0"/>
          <w:sz w:val="18"/>
          <w:szCs w:val="18"/>
          <w14:ligatures w14:val="none"/>
        </w:rPr>
        <w:t>SuperLink</w:t>
      </w:r>
      <w:proofErr w:type="spellEnd"/>
      <w:r w:rsidRPr="008A3334">
        <w:rPr>
          <w:rFonts w:ascii="Helvetica" w:eastAsia="Times New Roman" w:hAnsi="Helvetica" w:cs="Times New Roman"/>
          <w:color w:val="000000"/>
          <w:kern w:val="0"/>
          <w:sz w:val="18"/>
          <w:szCs w:val="18"/>
          <w14:ligatures w14:val="none"/>
        </w:rPr>
        <w:t>.</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In addition, the technical effectiveness of the protective mechanisms envisaged has so far not been demonstrated by a documented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or re-identification test.</w:t>
      </w:r>
    </w:p>
    <w:p w:rsidR="008A3334" w:rsidRPr="008A3334" w:rsidRDefault="008A3334" w:rsidP="008A3334">
      <w:pPr>
        <w:spacing w:before="100" w:beforeAutospacing="1" w:after="100" w:afterAutospacing="1"/>
        <w:rPr>
          <w:rFonts w:ascii="Helvetica" w:eastAsia="Times New Roman" w:hAnsi="Helvetica" w:cs="Times New Roman"/>
          <w:color w:val="000000"/>
          <w:kern w:val="0"/>
          <w:sz w:val="18"/>
          <w:szCs w:val="18"/>
          <w14:ligatures w14:val="none"/>
        </w:rPr>
      </w:pPr>
      <w:r w:rsidRPr="008A3334">
        <w:rPr>
          <w:rFonts w:ascii="Helvetica" w:eastAsia="Times New Roman" w:hAnsi="Helvetica" w:cs="Times New Roman"/>
          <w:color w:val="000000"/>
          <w:kern w:val="0"/>
          <w:sz w:val="18"/>
          <w:szCs w:val="18"/>
          <w14:ligatures w14:val="none"/>
        </w:rPr>
        <w:t xml:space="preserve">Provisionally, therefore, it cannot be established that the gradients constitute personal data; nor can their anonymity currently be robustly affirmed. For the further legal and technical design of the project it is accordingly advisable, as a precaution, to treat the gradients as personal data — and, given the context in which they arise, potentially as health data — until sufficient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has been demonstrated. Only once the technical documentation referred to above and a robust </w:t>
      </w:r>
      <w:proofErr w:type="spellStart"/>
      <w:r w:rsidRPr="008A3334">
        <w:rPr>
          <w:rFonts w:ascii="Helvetica" w:eastAsia="Times New Roman" w:hAnsi="Helvetica" w:cs="Times New Roman"/>
          <w:color w:val="000000"/>
          <w:kern w:val="0"/>
          <w:sz w:val="18"/>
          <w:szCs w:val="18"/>
          <w14:ligatures w14:val="none"/>
        </w:rPr>
        <w:t>anonymisation</w:t>
      </w:r>
      <w:proofErr w:type="spellEnd"/>
      <w:r w:rsidRPr="008A3334">
        <w:rPr>
          <w:rFonts w:ascii="Helvetica" w:eastAsia="Times New Roman" w:hAnsi="Helvetica" w:cs="Times New Roman"/>
          <w:color w:val="000000"/>
          <w:kern w:val="0"/>
          <w:sz w:val="18"/>
          <w:szCs w:val="18"/>
          <w14:ligatures w14:val="none"/>
        </w:rPr>
        <w:t xml:space="preserve"> proof have been provided and assessed will it be possible to examine whether, and if so for which participants or processing levels, the data in fact cease to be personal data.</w:t>
      </w:r>
    </w:p>
    <w:p w:rsidR="008A3334" w:rsidRPr="008A3334" w:rsidRDefault="008A3334" w:rsidP="008A3334">
      <w:pPr>
        <w:rPr>
          <w:rFonts w:ascii="Times New Roman" w:eastAsia="Times New Roman" w:hAnsi="Times New Roman" w:cs="Times New Roman"/>
          <w:kern w:val="0"/>
          <w14:ligatures w14:val="none"/>
        </w:rPr>
      </w:pPr>
    </w:p>
    <w:p w:rsidR="008A3334" w:rsidRPr="008A3334" w:rsidRDefault="008A3334" w:rsidP="008A3334">
      <w:pPr>
        <w:tabs>
          <w:tab w:val="left" w:pos="7825"/>
        </w:tabs>
      </w:pPr>
    </w:p>
    <w:sectPr w:rsidR="008A3334" w:rsidRPr="008A3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7DD2"/>
    <w:multiLevelType w:val="multilevel"/>
    <w:tmpl w:val="47E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05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34"/>
    <w:rsid w:val="00393C34"/>
    <w:rsid w:val="00420701"/>
    <w:rsid w:val="008A3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4B86605-90B1-1A44-B338-C5508FD8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333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A333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A333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3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A333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A333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A3334"/>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A3334"/>
    <w:rPr>
      <w:i/>
      <w:iCs/>
    </w:rPr>
  </w:style>
  <w:style w:type="character" w:styleId="Strong">
    <w:name w:val="Strong"/>
    <w:basedOn w:val="DefaultParagraphFont"/>
    <w:uiPriority w:val="22"/>
    <w:qFormat/>
    <w:rsid w:val="008A3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560338">
      <w:bodyDiv w:val="1"/>
      <w:marLeft w:val="0"/>
      <w:marRight w:val="0"/>
      <w:marTop w:val="0"/>
      <w:marBottom w:val="0"/>
      <w:divBdr>
        <w:top w:val="none" w:sz="0" w:space="0" w:color="auto"/>
        <w:left w:val="none" w:sz="0" w:space="0" w:color="auto"/>
        <w:bottom w:val="none" w:sz="0" w:space="0" w:color="auto"/>
        <w:right w:val="none" w:sz="0" w:space="0" w:color="auto"/>
      </w:divBdr>
      <w:divsChild>
        <w:div w:id="604381753">
          <w:marLeft w:val="0"/>
          <w:marRight w:val="0"/>
          <w:marTop w:val="0"/>
          <w:marBottom w:val="0"/>
          <w:divBdr>
            <w:top w:val="none" w:sz="0" w:space="0" w:color="auto"/>
            <w:left w:val="none" w:sz="0" w:space="0" w:color="auto"/>
            <w:bottom w:val="none" w:sz="0" w:space="0" w:color="auto"/>
            <w:right w:val="none" w:sz="0" w:space="0" w:color="auto"/>
          </w:divBdr>
        </w:div>
        <w:div w:id="815536901">
          <w:blockQuote w:val="1"/>
          <w:marLeft w:val="600"/>
          <w:marRight w:val="0"/>
          <w:marTop w:val="0"/>
          <w:marBottom w:val="0"/>
          <w:divBdr>
            <w:top w:val="none" w:sz="0" w:space="0" w:color="auto"/>
            <w:left w:val="none" w:sz="0" w:space="0" w:color="auto"/>
            <w:bottom w:val="none" w:sz="0" w:space="0" w:color="auto"/>
            <w:right w:val="none" w:sz="0" w:space="0" w:color="auto"/>
          </w:divBdr>
          <w:divsChild>
            <w:div w:id="55787669">
              <w:marLeft w:val="0"/>
              <w:marRight w:val="0"/>
              <w:marTop w:val="0"/>
              <w:marBottom w:val="0"/>
              <w:divBdr>
                <w:top w:val="none" w:sz="0" w:space="0" w:color="auto"/>
                <w:left w:val="none" w:sz="0" w:space="0" w:color="auto"/>
                <w:bottom w:val="none" w:sz="0" w:space="0" w:color="auto"/>
                <w:right w:val="none" w:sz="0" w:space="0" w:color="auto"/>
              </w:divBdr>
            </w:div>
          </w:divsChild>
        </w:div>
        <w:div w:id="210462367">
          <w:marLeft w:val="0"/>
          <w:marRight w:val="0"/>
          <w:marTop w:val="0"/>
          <w:marBottom w:val="0"/>
          <w:divBdr>
            <w:top w:val="none" w:sz="0" w:space="0" w:color="auto"/>
            <w:left w:val="none" w:sz="0" w:space="0" w:color="auto"/>
            <w:bottom w:val="none" w:sz="0" w:space="0" w:color="auto"/>
            <w:right w:val="none" w:sz="0" w:space="0" w:color="auto"/>
          </w:divBdr>
        </w:div>
        <w:div w:id="391581645">
          <w:marLeft w:val="0"/>
          <w:marRight w:val="0"/>
          <w:marTop w:val="0"/>
          <w:marBottom w:val="0"/>
          <w:divBdr>
            <w:top w:val="none" w:sz="0" w:space="0" w:color="auto"/>
            <w:left w:val="none" w:sz="0" w:space="0" w:color="auto"/>
            <w:bottom w:val="none" w:sz="0" w:space="0" w:color="auto"/>
            <w:right w:val="none" w:sz="0" w:space="0" w:color="auto"/>
          </w:divBdr>
        </w:div>
        <w:div w:id="959384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1077</Words>
  <Characters>6144</Characters>
  <Application>Microsoft Office Word</Application>
  <DocSecurity>0</DocSecurity>
  <Lines>51</Lines>
  <Paragraphs>14</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Tai</dc:creator>
  <cp:keywords/>
  <dc:description/>
  <cp:lastModifiedBy>Andy Tai</cp:lastModifiedBy>
  <cp:revision>1</cp:revision>
  <dcterms:created xsi:type="dcterms:W3CDTF">2026-08-20T08:19:00Z</dcterms:created>
  <dcterms:modified xsi:type="dcterms:W3CDTF">2026-08-20T08:20:00Z</dcterms:modified>
</cp:coreProperties>
</file>