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92412">
      <w:pPr>
        <w:pStyle w:val="Web"/>
        <w:spacing w:before="0" w:beforeAutospacing="0" w:after="0" w:afterAutospacing="0"/>
        <w:rPr>
          <w:rFonts w:ascii="Calibri" w:hAnsi="Calibri" w:cs="Calibri"/>
          <w:sz w:val="40"/>
          <w:szCs w:val="40"/>
        </w:rPr>
      </w:pPr>
      <w:bookmarkStart w:id="0" w:name="_GoBack"/>
      <w:bookmarkEnd w:id="0"/>
      <w:r>
        <w:rPr>
          <w:rFonts w:ascii="Calibri" w:hAnsi="Calibri" w:cs="Calibri"/>
          <w:sz w:val="40"/>
          <w:szCs w:val="40"/>
        </w:rPr>
        <w:t>GS</w:t>
      </w:r>
    </w:p>
    <w:p w:rsidR="00000000" w:rsidRDefault="00892412">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5</w:t>
      </w:r>
      <w:r>
        <w:rPr>
          <w:rFonts w:ascii="微軟正黑體" w:eastAsia="微軟正黑體" w:hAnsi="微軟正黑體" w:cs="Calibri" w:hint="eastAsia"/>
          <w:color w:val="767676"/>
          <w:sz w:val="20"/>
          <w:szCs w:val="20"/>
        </w:rPr>
        <w:t>日</w:t>
      </w:r>
    </w:p>
    <w:p w:rsidR="00000000" w:rsidRDefault="00892412">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07:25</w:t>
      </w:r>
    </w:p>
    <w:p w:rsidR="00000000" w:rsidRDefault="00892412">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92412">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Acute adomen</w:t>
      </w:r>
    </w:p>
    <w:p w:rsidR="00000000" w:rsidRDefault="00892412">
      <w:pPr>
        <w:pStyle w:val="Web"/>
        <w:spacing w:before="0" w:beforeAutospacing="0" w:after="0" w:afterAutospacing="0"/>
        <w:rPr>
          <w:rFonts w:cs="Calibri"/>
          <w:color w:val="666666"/>
          <w:sz w:val="20"/>
          <w:szCs w:val="20"/>
        </w:rPr>
      </w:pPr>
      <w:r>
        <w:rPr>
          <w:rFonts w:cs="Calibri" w:hint="eastAsia"/>
          <w:color w:val="666666"/>
          <w:sz w:val="20"/>
          <w:szCs w:val="20"/>
        </w:rPr>
        <w:t>2025</w:t>
      </w:r>
      <w:r>
        <w:rPr>
          <w:rFonts w:cs="Calibri" w:hint="eastAsia"/>
          <w:color w:val="666666"/>
          <w:sz w:val="20"/>
          <w:szCs w:val="20"/>
        </w:rPr>
        <w:t>年</w:t>
      </w:r>
      <w:r>
        <w:rPr>
          <w:rFonts w:cs="Calibri" w:hint="eastAsia"/>
          <w:color w:val="666666"/>
          <w:sz w:val="20"/>
          <w:szCs w:val="20"/>
        </w:rPr>
        <w:t>2</w:t>
      </w:r>
      <w:r>
        <w:rPr>
          <w:rFonts w:cs="Calibri" w:hint="eastAsia"/>
          <w:color w:val="666666"/>
          <w:sz w:val="20"/>
          <w:szCs w:val="20"/>
        </w:rPr>
        <w:t>月</w:t>
      </w:r>
      <w:r>
        <w:rPr>
          <w:rFonts w:cs="Calibri" w:hint="eastAsia"/>
          <w:color w:val="666666"/>
          <w:sz w:val="20"/>
          <w:szCs w:val="20"/>
        </w:rPr>
        <w:t>23</w:t>
      </w:r>
      <w:r>
        <w:rPr>
          <w:rFonts w:cs="Calibri" w:hint="eastAsia"/>
          <w:color w:val="666666"/>
          <w:sz w:val="20"/>
          <w:szCs w:val="20"/>
        </w:rPr>
        <w:t>日</w:t>
      </w:r>
    </w:p>
    <w:p w:rsidR="00000000" w:rsidRDefault="00892412">
      <w:pPr>
        <w:pStyle w:val="Web"/>
        <w:spacing w:before="0" w:beforeAutospacing="0" w:after="0" w:afterAutospacing="0"/>
        <w:rPr>
          <w:rFonts w:cs="Calibri" w:hint="eastAsia"/>
          <w:color w:val="666666"/>
          <w:sz w:val="20"/>
          <w:szCs w:val="20"/>
        </w:rPr>
      </w:pPr>
      <w:r>
        <w:rPr>
          <w:rFonts w:cs="Calibri" w:hint="eastAsia"/>
          <w:color w:val="666666"/>
          <w:sz w:val="20"/>
          <w:szCs w:val="20"/>
        </w:rPr>
        <w:t>下午</w:t>
      </w:r>
      <w:r>
        <w:rPr>
          <w:rFonts w:cs="Calibri" w:hint="eastAsia"/>
          <w:color w:val="666666"/>
          <w:sz w:val="20"/>
          <w:szCs w:val="20"/>
        </w:rPr>
        <w:t xml:space="preserve"> 08:24</w:t>
      </w:r>
    </w:p>
    <w:p w:rsidR="00000000" w:rsidRDefault="00892412">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892412">
      <w:pPr>
        <w:pStyle w:val="Web"/>
        <w:spacing w:before="0" w:beforeAutospacing="0" w:after="0" w:afterAutospacing="0"/>
        <w:rPr>
          <w:rFonts w:cs="Calibri"/>
          <w:sz w:val="22"/>
          <w:szCs w:val="22"/>
        </w:rPr>
      </w:pPr>
      <w:r>
        <w:rPr>
          <w:rFonts w:cs="Calibri" w:hint="eastAsia"/>
          <w:sz w:val="22"/>
          <w:szCs w:val="22"/>
        </w:rPr>
        <w:t>急性腹部是指腹部疼痛和壓痛的症狀。</w:t>
      </w:r>
      <w:r>
        <w:rPr>
          <w:rFonts w:cs="Calibri" w:hint="eastAsia"/>
          <w:sz w:val="22"/>
          <w:szCs w:val="22"/>
        </w:rPr>
        <w:t xml:space="preserve"> </w:t>
      </w:r>
      <w:r>
        <w:rPr>
          <w:rFonts w:cs="Calibri" w:hint="eastAsia"/>
          <w:sz w:val="22"/>
          <w:szCs w:val="22"/>
        </w:rPr>
        <w:t>這種情況通常表示潛在的手術問題，需要及時診斷和手術治療。年齡、性別和既往腹部手術史與引起急性腹部症狀的不同問題有關。</w:t>
      </w:r>
      <w:r>
        <w:rPr>
          <w:rFonts w:cs="Calibri" w:hint="eastAsia"/>
          <w:sz w:val="22"/>
          <w:szCs w:val="22"/>
        </w:rPr>
        <w:t xml:space="preserve"> </w:t>
      </w:r>
      <w:r>
        <w:rPr>
          <w:rFonts w:cs="Calibri" w:hint="eastAsia"/>
          <w:sz w:val="22"/>
          <w:szCs w:val="22"/>
        </w:rPr>
        <w:t>某些疾病，如闌尾炎和腸系膜淋巴結炎，在年輕人中更常見，而膽道疾病、憩室炎和腸缺血在老年人群中更常見。</w:t>
      </w:r>
      <w:r>
        <w:rPr>
          <w:rFonts w:cs="Calibri" w:hint="eastAsia"/>
          <w:sz w:val="22"/>
          <w:szCs w:val="22"/>
        </w:rPr>
        <w:t xml:space="preserve"> </w:t>
      </w:r>
      <w:r>
        <w:rPr>
          <w:rFonts w:cs="Calibri" w:hint="eastAsia"/>
          <w:sz w:val="22"/>
          <w:szCs w:val="22"/>
        </w:rPr>
        <w:t>許多非手術問題也可能表現為急性腹部。</w:t>
      </w:r>
      <w:r>
        <w:rPr>
          <w:rFonts w:cs="Calibri" w:hint="eastAsia"/>
          <w:sz w:val="22"/>
          <w:szCs w:val="22"/>
        </w:rPr>
        <w:t xml:space="preserve"> </w:t>
      </w:r>
      <w:r>
        <w:rPr>
          <w:rFonts w:cs="Calibri" w:hint="eastAsia"/>
          <w:sz w:val="22"/>
          <w:szCs w:val="22"/>
        </w:rPr>
        <w:t>這些問題包括內分泌和代謝問題、血液學問題以及由毒素或藥物引起的問題。</w:t>
      </w:r>
    </w:p>
    <w:p w:rsidR="00000000" w:rsidRDefault="00892412">
      <w:pPr>
        <w:pStyle w:val="Web"/>
        <w:spacing w:before="0" w:beforeAutospacing="0" w:after="0" w:afterAutospacing="0"/>
        <w:rPr>
          <w:rFonts w:cs="Calibri" w:hint="eastAsia"/>
          <w:sz w:val="22"/>
          <w:szCs w:val="22"/>
        </w:rPr>
      </w:pPr>
      <w:r>
        <w:rPr>
          <w:rFonts w:cs="Calibri" w:hint="eastAsia"/>
          <w:sz w:val="22"/>
          <w:szCs w:val="22"/>
        </w:rPr>
        <w:t>Nonsurgical causes of the acute   abdomen</w:t>
      </w:r>
    </w:p>
    <w:p w:rsidR="00000000" w:rsidRDefault="00892412">
      <w:pPr>
        <w:pStyle w:val="Web"/>
        <w:spacing w:before="0" w:beforeAutospacing="0" w:after="0" w:afterAutospacing="0"/>
        <w:ind w:left="540"/>
        <w:rPr>
          <w:rFonts w:cs="Calibri" w:hint="eastAsia"/>
          <w:sz w:val="22"/>
          <w:szCs w:val="22"/>
        </w:rPr>
      </w:pPr>
      <w:r>
        <w:rPr>
          <w:rFonts w:cs="Calibri" w:hint="eastAsia"/>
          <w:sz w:val="22"/>
          <w:szCs w:val="22"/>
        </w:rPr>
        <w:t>Endocrine and Metabolic Causes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Acute intermittent porphyria</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Addisonian crisis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Diabetic crisis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Hereditary Mediterranean fever</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Uremia</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Hematologic Causes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Acute leukemia</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Sickle cell crisis</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Toxins and Drugs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 xml:space="preserve">Black widow </w:t>
      </w:r>
      <w:r>
        <w:rPr>
          <w:rFonts w:cs="Calibri" w:hint="eastAsia"/>
          <w:sz w:val="22"/>
          <w:szCs w:val="22"/>
        </w:rPr>
        <w:t>spider poisoning</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Lead poisoning</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Other heavy metal poisoning</w:t>
      </w:r>
    </w:p>
    <w:p w:rsidR="00000000" w:rsidRDefault="00892412">
      <w:pPr>
        <w:pStyle w:val="Web"/>
        <w:spacing w:before="0" w:beforeAutospacing="0" w:after="0" w:afterAutospacing="0"/>
        <w:ind w:left="1080"/>
        <w:rPr>
          <w:rFonts w:cs="Calibri" w:hint="eastAsia"/>
          <w:sz w:val="22"/>
          <w:szCs w:val="22"/>
        </w:rPr>
      </w:pPr>
      <w:r>
        <w:rPr>
          <w:rFonts w:cs="Calibri" w:hint="eastAsia"/>
          <w:sz w:val="22"/>
          <w:szCs w:val="22"/>
        </w:rPr>
        <w:t>Narcotic withdrawal</w:t>
      </w:r>
    </w:p>
    <w:p w:rsidR="00000000" w:rsidRDefault="00892412">
      <w:pPr>
        <w:pStyle w:val="Web"/>
        <w:spacing w:before="0" w:beforeAutospacing="0" w:after="0" w:afterAutospacing="0"/>
        <w:rPr>
          <w:rFonts w:cs="Calibri" w:hint="eastAsia"/>
          <w:sz w:val="22"/>
          <w:szCs w:val="22"/>
        </w:rPr>
      </w:pPr>
      <w:r>
        <w:rPr>
          <w:rFonts w:cs="Calibri" w:hint="eastAsia"/>
          <w:sz w:val="22"/>
          <w:szCs w:val="22"/>
        </w:rPr>
        <w:t>Surgical acute abdominal   conditions</w:t>
      </w:r>
    </w:p>
    <w:p w:rsidR="00000000" w:rsidRDefault="00892412">
      <w:pPr>
        <w:pStyle w:val="Web"/>
        <w:spacing w:before="0" w:beforeAutospacing="0" w:after="0" w:afterAutospacing="0"/>
        <w:ind w:left="540"/>
        <w:rPr>
          <w:rFonts w:cs="Calibri" w:hint="eastAsia"/>
          <w:sz w:val="22"/>
          <w:szCs w:val="22"/>
        </w:rPr>
      </w:pPr>
      <w:r>
        <w:rPr>
          <w:rFonts w:cs="Calibri" w:hint="eastAsia"/>
          <w:sz w:val="22"/>
          <w:szCs w:val="22"/>
        </w:rPr>
        <w:t>Hemorrhage</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Aortoduodenal fistula after aortic vascular graft</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Arteriovenous malformation of the gastrointestinal tract</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Bleeding gastrointestinal diverticulum</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Hemorrhagic pancreatitis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Intestinal ulceration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Leaking or ruptured arterial aneurysm</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Mallory-Weiss syndrome</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Ruptured ectopic pregnancy</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lastRenderedPageBreak/>
        <w:t>Solid organ trauma</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Spontaneous splenic rupture</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Infection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Appendicitis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Cholecystiti</w:t>
      </w:r>
      <w:r>
        <w:rPr>
          <w:rFonts w:cs="Calibri" w:hint="eastAsia"/>
          <w:sz w:val="22"/>
          <w:szCs w:val="22"/>
        </w:rPr>
        <w:t>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Diverticulitis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Hepatic abscess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Meckel diverticulitis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Psoas abscess</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Ischemia</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Buerger disease</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Ischemic colitis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Mesenteric thrombosis or embolism</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Ovarian torsion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Strangulated hernia</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Testicular torsion</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Obstruction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Cecal volvulus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Gastrointestinal malignancy</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Incarcerated hernias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Inflammatory bowel disease</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Intussusception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Sigmoid volvulus</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Small bowel obstruction</w:t>
      </w:r>
    </w:p>
    <w:p w:rsidR="00000000" w:rsidRDefault="00892412">
      <w:pPr>
        <w:pStyle w:val="Web"/>
        <w:spacing w:before="120" w:beforeAutospacing="0" w:after="120" w:afterAutospacing="0"/>
        <w:ind w:left="540"/>
        <w:rPr>
          <w:rFonts w:cs="Calibri" w:hint="eastAsia"/>
          <w:sz w:val="22"/>
          <w:szCs w:val="22"/>
        </w:rPr>
      </w:pPr>
      <w:r>
        <w:rPr>
          <w:rFonts w:cs="Calibri" w:hint="eastAsia"/>
          <w:sz w:val="22"/>
          <w:szCs w:val="22"/>
        </w:rPr>
        <w:t>Perforation</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Boerhaave syndrome</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Perforated diverticulum</w:t>
      </w:r>
    </w:p>
    <w:p w:rsidR="00000000" w:rsidRDefault="00892412">
      <w:pPr>
        <w:pStyle w:val="Web"/>
        <w:spacing w:before="120" w:beforeAutospacing="0" w:after="120" w:afterAutospacing="0"/>
        <w:ind w:left="1080"/>
        <w:rPr>
          <w:rFonts w:cs="Calibri" w:hint="eastAsia"/>
          <w:sz w:val="22"/>
          <w:szCs w:val="22"/>
        </w:rPr>
      </w:pPr>
      <w:r>
        <w:rPr>
          <w:rFonts w:cs="Calibri" w:hint="eastAsia"/>
          <w:sz w:val="22"/>
          <w:szCs w:val="22"/>
        </w:rPr>
        <w:t>Perforated gastrointestinal cancer</w:t>
      </w:r>
    </w:p>
    <w:p w:rsidR="00000000" w:rsidRDefault="00892412">
      <w:pPr>
        <w:pStyle w:val="Web"/>
        <w:spacing w:before="0" w:beforeAutospacing="0" w:after="0" w:afterAutospacing="0"/>
        <w:ind w:left="1080"/>
        <w:rPr>
          <w:rFonts w:cs="Calibri" w:hint="eastAsia"/>
          <w:sz w:val="22"/>
          <w:szCs w:val="22"/>
        </w:rPr>
      </w:pPr>
      <w:r>
        <w:rPr>
          <w:rFonts w:cs="Calibri" w:hint="eastAsia"/>
          <w:sz w:val="22"/>
          <w:szCs w:val="22"/>
        </w:rPr>
        <w:t>Perforated gastrointestinal ulcer</w:t>
      </w:r>
    </w:p>
    <w:p w:rsidR="00000000" w:rsidRDefault="00892412">
      <w:pPr>
        <w:numPr>
          <w:ilvl w:val="0"/>
          <w:numId w:val="1"/>
        </w:numPr>
        <w:ind w:left="540"/>
        <w:textAlignment w:val="center"/>
        <w:rPr>
          <w:rFonts w:ascii="Calibri" w:hAnsi="Calibri" w:cs="Calibri" w:hint="eastAsia"/>
          <w:sz w:val="22"/>
          <w:szCs w:val="22"/>
        </w:rPr>
      </w:pPr>
      <w:r>
        <w:rPr>
          <w:rFonts w:cs="Calibri" w:hint="eastAsia"/>
          <w:sz w:val="22"/>
          <w:szCs w:val="22"/>
        </w:rPr>
        <w:t>解剖學和生理學</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腹部疼痛可以分為內臟痛、體壁痛和牽涉痛</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 xml:space="preserve"> </w:t>
      </w:r>
      <w:r>
        <w:rPr>
          <w:rFonts w:cs="Calibri" w:hint="eastAsia"/>
          <w:sz w:val="22"/>
          <w:szCs w:val="22"/>
        </w:rPr>
        <w:t>內臟痛是模糊的，位於上腹部、臍周區域或下腹部，具體取決於疼痛是來自前腸、中腸還是後腸。</w:t>
      </w:r>
      <w:r>
        <w:rPr>
          <w:rFonts w:cs="Calibri" w:hint="eastAsia"/>
          <w:sz w:val="22"/>
          <w:szCs w:val="22"/>
        </w:rPr>
        <w:t xml:space="preserve"> </w:t>
      </w:r>
      <w:r>
        <w:rPr>
          <w:rFonts w:cs="Calibri" w:hint="eastAsia"/>
          <w:sz w:val="22"/>
          <w:szCs w:val="22"/>
        </w:rPr>
        <w:t>內臟痛通常是由於空腔臟器擴張引起的。</w:t>
      </w:r>
      <w:r>
        <w:rPr>
          <w:rFonts w:cs="Calibri" w:hint="eastAsia"/>
          <w:sz w:val="22"/>
          <w:szCs w:val="22"/>
        </w:rPr>
        <w:t xml:space="preserve"> </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體壁痛比內臟痛更尖銳，定位更準確，與支配腹膜的神經根相對應。</w:t>
      </w:r>
      <w:r>
        <w:rPr>
          <w:rFonts w:cs="Calibri" w:hint="eastAsia"/>
          <w:sz w:val="22"/>
          <w:szCs w:val="22"/>
        </w:rPr>
        <w:t xml:space="preserve"> </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牽涉痛是指在患病器官以外的解剖區域感覺到的疼痛。</w:t>
      </w:r>
      <w:r>
        <w:rPr>
          <w:rFonts w:cs="Calibri" w:hint="eastAsia"/>
          <w:sz w:val="22"/>
          <w:szCs w:val="22"/>
        </w:rPr>
        <w:t xml:space="preserve"> </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當細菌或穿孔導致內容物進入腹腔時，腹膜表面會滲出大量液體。</w:t>
      </w:r>
      <w:r>
        <w:rPr>
          <w:rFonts w:cs="Calibri" w:hint="eastAsia"/>
          <w:sz w:val="22"/>
          <w:szCs w:val="22"/>
        </w:rPr>
        <w:t xml:space="preserve"> </w:t>
      </w:r>
      <w:r>
        <w:rPr>
          <w:rFonts w:cs="Calibri" w:hint="eastAsia"/>
          <w:sz w:val="22"/>
          <w:szCs w:val="22"/>
        </w:rPr>
        <w:t>腹膜對此類損傷的反應是增加血流量、增加通透性，並在其表面形成纖維蛋白滲出物。</w:t>
      </w:r>
      <w:r>
        <w:rPr>
          <w:rFonts w:cs="Calibri" w:hint="eastAsia"/>
          <w:sz w:val="22"/>
          <w:szCs w:val="22"/>
        </w:rPr>
        <w:t xml:space="preserve"> </w:t>
      </w:r>
      <w:r>
        <w:rPr>
          <w:rFonts w:cs="Calibri" w:hint="eastAsia"/>
          <w:sz w:val="22"/>
          <w:szCs w:val="22"/>
        </w:rPr>
        <w:t>通常會導致腸道運動的普遍或局部喪失。</w:t>
      </w:r>
      <w:r>
        <w:rPr>
          <w:rFonts w:cs="Calibri" w:hint="eastAsia"/>
          <w:sz w:val="22"/>
          <w:szCs w:val="22"/>
        </w:rPr>
        <w:t xml:space="preserve"> </w:t>
      </w:r>
      <w:r>
        <w:rPr>
          <w:rFonts w:cs="Calibri" w:hint="eastAsia"/>
          <w:sz w:val="22"/>
          <w:szCs w:val="22"/>
        </w:rPr>
        <w:t>腸道環之間、腸道與網膜之間或腸道與腹壁之間會發生粘連，這有助於將炎症損傷局限化。</w:t>
      </w:r>
      <w:r>
        <w:rPr>
          <w:rFonts w:cs="Calibri" w:hint="eastAsia"/>
          <w:sz w:val="22"/>
          <w:szCs w:val="22"/>
        </w:rPr>
        <w:t xml:space="preserve"> </w:t>
      </w:r>
      <w:r>
        <w:rPr>
          <w:rFonts w:cs="Calibri" w:hint="eastAsia"/>
          <w:sz w:val="22"/>
          <w:szCs w:val="22"/>
        </w:rPr>
        <w:t>因此，膿腫可能會導致劇烈、局部的疼痛，但腸道蠕動正常，而瀰漫性病變，如十二指腸穿孔，通常會導致廣泛性腹痛，且腸鳴音消失。</w:t>
      </w:r>
      <w:r>
        <w:rPr>
          <w:rFonts w:cs="Calibri" w:hint="eastAsia"/>
          <w:sz w:val="22"/>
          <w:szCs w:val="22"/>
        </w:rPr>
        <w:t xml:space="preserve">   </w:t>
      </w:r>
    </w:p>
    <w:p w:rsidR="00000000" w:rsidRDefault="00892412">
      <w:pPr>
        <w:numPr>
          <w:ilvl w:val="1"/>
          <w:numId w:val="1"/>
        </w:numPr>
        <w:spacing w:before="120" w:after="120"/>
        <w:ind w:left="1080"/>
        <w:textAlignment w:val="center"/>
        <w:rPr>
          <w:rFonts w:ascii="Calibri" w:hAnsi="Calibri" w:cs="Calibri"/>
          <w:sz w:val="22"/>
          <w:szCs w:val="22"/>
        </w:rPr>
      </w:pPr>
      <w:r>
        <w:rPr>
          <w:rFonts w:cs="Calibri" w:hint="eastAsia"/>
          <w:sz w:val="22"/>
          <w:szCs w:val="22"/>
        </w:rPr>
        <w:t>通過體格檢查，可以通過劇烈壓痛（伴或不伴反跳痛）和腹肌緊張來識別腹膜炎。</w:t>
      </w:r>
    </w:p>
    <w:p w:rsidR="00000000" w:rsidRDefault="00892412">
      <w:pPr>
        <w:numPr>
          <w:ilvl w:val="0"/>
          <w:numId w:val="1"/>
        </w:numPr>
        <w:ind w:left="540"/>
        <w:textAlignment w:val="center"/>
        <w:rPr>
          <w:rFonts w:ascii="Calibri" w:hAnsi="Calibri" w:cs="Calibri"/>
          <w:sz w:val="22"/>
          <w:szCs w:val="22"/>
        </w:rPr>
      </w:pPr>
      <w:r>
        <w:rPr>
          <w:rFonts w:cs="Calibri" w:hint="eastAsia"/>
          <w:sz w:val="22"/>
          <w:szCs w:val="22"/>
        </w:rPr>
        <w:t>病史</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病史應著重於：</w:t>
      </w:r>
      <w:r>
        <w:rPr>
          <w:rFonts w:cs="Calibri" w:hint="eastAsia"/>
          <w:sz w:val="22"/>
          <w:szCs w:val="22"/>
        </w:rPr>
        <w:t xml:space="preserve"> </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疼痛的發作和性質。</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任何相關症狀，如噁心或厭食，無論它們是先於疼痛還是後於疼痛發作。</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疼痛的進展。</w:t>
      </w:r>
    </w:p>
    <w:p w:rsidR="00000000" w:rsidRDefault="00892412">
      <w:pPr>
        <w:numPr>
          <w:ilvl w:val="2"/>
          <w:numId w:val="1"/>
        </w:numPr>
        <w:ind w:left="1620"/>
        <w:textAlignment w:val="center"/>
        <w:rPr>
          <w:rFonts w:ascii="Calibri" w:hAnsi="Calibri" w:cs="Calibri"/>
          <w:sz w:val="22"/>
          <w:szCs w:val="22"/>
        </w:rPr>
      </w:pPr>
      <w:r>
        <w:rPr>
          <w:rFonts w:cs="Calibri" w:hint="eastAsia"/>
          <w:sz w:val="22"/>
          <w:szCs w:val="22"/>
        </w:rPr>
        <w:t>炎症性腸病、既往腹部手術（無論是開放性還是腹腔鏡手術）的病史。</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突發性劇烈疼痛提示腸道穿孔或動脈栓塞伴缺血等情況，儘管其他情況，如膽絞痛，也可能突然發作。</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疼痛在數小時內發展並加重是炎症</w:t>
      </w:r>
      <w:r>
        <w:rPr>
          <w:rFonts w:cs="Calibri" w:hint="eastAsia"/>
          <w:sz w:val="22"/>
          <w:szCs w:val="22"/>
        </w:rPr>
        <w:t>或感染性疾病（如膽囊炎、結腸炎或腸梗阻）的典型表現。</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逐漸加重的疼痛與間歇性疼痛的病史有助於區分感染過程與痙攣性絞痛，後者與腸梗阻、膽囊管梗阻引起的膽絞痛或泌尿生殖系統梗阻有關。</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進食通常會加重腸梗阻、膽絞痛、胰腺炎、憩室炎或腸穿孔的疼痛。</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進食可以減輕消化性潰瘍或胃炎的疼痛。</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腹膜炎患者會避免任何會拉伸或移動腹部的活動。</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嘔吐可能是由任何原因引起的嚴重腹痛，也可能是由於機械性腸梗阻或腸梗阻引起的。</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在許多非手術疾病中，嘔吐更可能先於明顯腹痛的發作，而在急性腹痛伴有潛在手術原因的情況下，疼痛會先於嘔吐。</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便</w:t>
      </w:r>
      <w:r>
        <w:rPr>
          <w:rFonts w:cs="Calibri" w:hint="eastAsia"/>
          <w:sz w:val="22"/>
          <w:szCs w:val="22"/>
        </w:rPr>
        <w:t>秘或排便困難可能是機械性梗阻或腸道蠕動減少的結果。它可能是主要問題，可以用瀉藥或促動力藥物治療，也可能僅僅是潛在更嚴重疾病的症狀。因此，了解患者是否繼續排氣或排便非常重要。完全梗阻，沒有排氣或排便，更有可能與隨後的腸缺血或穿孔有關，因為可能會發生明顯的腸道擴張。</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腹瀉與幾種非手術治療的疾病有關。這些疾病包括感染性腸炎、炎症性腸病或寄生蟲感染。在這些內科疾病以及結腸缺血中可以看到血性腹瀉。</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既往病史對於準確診斷急性腹痛患者非常有幫助。例如，患者可能會報告目前的疼痛與幾年前通過腎結石時經歷的疼痛相似。既往有闌尾</w:t>
      </w:r>
      <w:r>
        <w:rPr>
          <w:rFonts w:cs="Calibri" w:hint="eastAsia"/>
          <w:sz w:val="22"/>
          <w:szCs w:val="22"/>
        </w:rPr>
        <w:t>切除術、盆腔炎或膽囊切除術的病史可以顯著縮小鑑別診斷範圍。</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高劑量麻醉藥物會干擾腸道運動，導致排便困難和梗阻。麻醉藥物還可能導致奧狄括約肌痙攣，並加重膽道或胰腺疼痛。它們還可以抑制痛覺並改變精神狀態。這兩者都會損害外科醫生準確診斷病情的能力。</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NSAID</w:t>
      </w:r>
      <w:r>
        <w:rPr>
          <w:rFonts w:cs="Calibri" w:hint="eastAsia"/>
          <w:sz w:val="22"/>
          <w:szCs w:val="22"/>
        </w:rPr>
        <w:t>與上消化道炎症和穿孔有關。</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類固醇可以阻斷主細胞的保護性胃黏液產生，並降低對感染的炎症反應，包括嚴重的腹膜炎。</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免疫抑制劑會增加患者感染各種細菌或病毒性疾病的風險，並減弱炎症反應，減少本應存在的疼痛，並限制整體生理反應。</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抗凝藥物在老年人群中很常見，可能是胃腸道出血、腹膜後出血或腹直肌鞘血腫的原因。如果患者未被識別出使用抗凝藥物，它們還會使患者的術前準備複雜化，並可能導致嚴重的發病率。</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可卡因和甲基苯丙胺的使用會引起強烈的血管痙攣，可能導致危及生命或腸道缺血以及嚴重的高血壓。</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女性急性腹痛的鑑別診斷比男性多得多。過去，女性急性腹痛的陰性剖腹探查或腹腔鏡檢查率很高，遠高於男性。仔細的婦科病史對於評估年輕女性的腹痛仍然很重要。異位妊娠、盆腔炎、排卵期疼痛和嚴重子宮內膜異位症的可能性都取決於婦科病史中獲得的詳細信息。</w:t>
      </w:r>
      <w:r>
        <w:rPr>
          <w:rFonts w:cs="Calibri" w:hint="eastAsia"/>
          <w:sz w:val="22"/>
          <w:szCs w:val="22"/>
        </w:rPr>
        <w:t xml:space="preserve">   </w:t>
      </w:r>
    </w:p>
    <w:p w:rsidR="00000000" w:rsidRDefault="00892412">
      <w:pPr>
        <w:numPr>
          <w:ilvl w:val="0"/>
          <w:numId w:val="1"/>
        </w:numPr>
        <w:ind w:left="540"/>
        <w:textAlignment w:val="center"/>
        <w:rPr>
          <w:rFonts w:ascii="Calibri" w:hAnsi="Calibri" w:cs="Calibri"/>
          <w:sz w:val="22"/>
          <w:szCs w:val="22"/>
        </w:rPr>
      </w:pPr>
      <w:r>
        <w:rPr>
          <w:rFonts w:cs="Calibri" w:hint="eastAsia"/>
          <w:sz w:val="22"/>
          <w:szCs w:val="22"/>
        </w:rPr>
        <w:t>PE</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首先證明患者是否有腹膜炎症。</w:t>
      </w:r>
      <w:r>
        <w:rPr>
          <w:rFonts w:cs="Calibri" w:hint="eastAsia"/>
          <w:sz w:val="22"/>
          <w:szCs w:val="22"/>
        </w:rPr>
        <w:t xml:space="preserve"> </w:t>
      </w:r>
      <w:r>
        <w:rPr>
          <w:rFonts w:cs="Calibri" w:hint="eastAsia"/>
          <w:sz w:val="22"/>
          <w:szCs w:val="22"/>
        </w:rPr>
        <w:t>這些患者往往一動不動，因為活動會加重他們的腹痛。</w:t>
      </w:r>
      <w:r>
        <w:rPr>
          <w:rFonts w:cs="Calibri" w:hint="eastAsia"/>
          <w:sz w:val="22"/>
          <w:szCs w:val="22"/>
        </w:rPr>
        <w:t xml:space="preserve"> </w:t>
      </w:r>
      <w:r>
        <w:rPr>
          <w:rFonts w:cs="Calibri" w:hint="eastAsia"/>
          <w:sz w:val="22"/>
          <w:szCs w:val="22"/>
        </w:rPr>
        <w:t>相比之下，有腹痛但沒有腹膜炎症的患者會煩躁不安，試圖找到一個舒適的姿勢。</w:t>
      </w:r>
      <w:r>
        <w:rPr>
          <w:rFonts w:cs="Calibri" w:hint="eastAsia"/>
          <w:sz w:val="22"/>
          <w:szCs w:val="22"/>
        </w:rPr>
        <w:t xml:space="preserve"> </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下一步是檢查腹部。</w:t>
      </w:r>
      <w:r>
        <w:rPr>
          <w:rFonts w:cs="Calibri" w:hint="eastAsia"/>
          <w:sz w:val="22"/>
          <w:szCs w:val="22"/>
        </w:rPr>
        <w:t xml:space="preserve"> </w:t>
      </w:r>
      <w:r>
        <w:rPr>
          <w:rFonts w:cs="Calibri" w:hint="eastAsia"/>
          <w:sz w:val="22"/>
          <w:szCs w:val="22"/>
        </w:rPr>
        <w:t>注意力集中在腹部輪廓和皮膚異常上。</w:t>
      </w:r>
      <w:r>
        <w:rPr>
          <w:rFonts w:cs="Calibri" w:hint="eastAsia"/>
          <w:sz w:val="22"/>
          <w:szCs w:val="22"/>
        </w:rPr>
        <w:t xml:space="preserve"> </w:t>
      </w:r>
      <w:r>
        <w:rPr>
          <w:rFonts w:cs="Calibri" w:hint="eastAsia"/>
          <w:sz w:val="22"/>
          <w:szCs w:val="22"/>
        </w:rPr>
        <w:t>腹部膨脹發生在一些腹部病變中，如腸梗阻、腹水或腫塊生長。</w:t>
      </w:r>
      <w:r>
        <w:rPr>
          <w:rFonts w:cs="Calibri" w:hint="eastAsia"/>
          <w:sz w:val="22"/>
          <w:szCs w:val="22"/>
        </w:rPr>
        <w:t xml:space="preserve"> </w:t>
      </w:r>
      <w:r>
        <w:rPr>
          <w:rFonts w:cs="Calibri" w:hint="eastAsia"/>
          <w:sz w:val="22"/>
          <w:szCs w:val="22"/>
        </w:rPr>
        <w:t>應識別手術疤痕，並與體格檢查前所做的病史相關聯。</w:t>
      </w:r>
      <w:r>
        <w:rPr>
          <w:rFonts w:cs="Calibri" w:hint="eastAsia"/>
          <w:sz w:val="22"/>
          <w:szCs w:val="22"/>
        </w:rPr>
        <w:t xml:space="preserve"> </w:t>
      </w:r>
      <w:r>
        <w:rPr>
          <w:rFonts w:cs="Calibri" w:hint="eastAsia"/>
          <w:sz w:val="22"/>
          <w:szCs w:val="22"/>
        </w:rPr>
        <w:t>其他皮膚發現，如紅斑或水皰，可以提醒檢查者注意可能需要立即清創的軟組織感染。</w:t>
      </w:r>
      <w:r>
        <w:rPr>
          <w:rFonts w:cs="Calibri" w:hint="eastAsia"/>
          <w:sz w:val="22"/>
          <w:szCs w:val="22"/>
        </w:rPr>
        <w:t xml:space="preserve"> </w:t>
      </w:r>
      <w:r>
        <w:rPr>
          <w:rFonts w:cs="Calibri" w:hint="eastAsia"/>
          <w:sz w:val="22"/>
          <w:szCs w:val="22"/>
        </w:rPr>
        <w:t>瘀斑也可能是筋膜壞死性感染的徵兆</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下一步是聽診。</w:t>
      </w:r>
      <w:r>
        <w:rPr>
          <w:rFonts w:cs="Calibri" w:hint="eastAsia"/>
          <w:sz w:val="22"/>
          <w:szCs w:val="22"/>
        </w:rPr>
        <w:t xml:space="preserve"> </w:t>
      </w:r>
      <w:r>
        <w:rPr>
          <w:rFonts w:cs="Calibri" w:hint="eastAsia"/>
          <w:sz w:val="22"/>
          <w:szCs w:val="22"/>
        </w:rPr>
        <w:t>這個步驟應該在叩診或觸診之前進行，因為腸道活動會受到手動操作的影</w:t>
      </w:r>
      <w:r>
        <w:rPr>
          <w:rFonts w:cs="Calibri" w:hint="eastAsia"/>
          <w:sz w:val="22"/>
          <w:szCs w:val="22"/>
        </w:rPr>
        <w:t>響。</w:t>
      </w:r>
      <w:r>
        <w:rPr>
          <w:rFonts w:cs="Calibri" w:hint="eastAsia"/>
          <w:sz w:val="22"/>
          <w:szCs w:val="22"/>
        </w:rPr>
        <w:t xml:space="preserve"> </w:t>
      </w:r>
      <w:r>
        <w:rPr>
          <w:rFonts w:cs="Calibri" w:hint="eastAsia"/>
          <w:sz w:val="22"/>
          <w:szCs w:val="22"/>
        </w:rPr>
        <w:t>血管異常，如動脈狹窄或動靜脈瘘，可以通過聽診腹部雜音來檢測。</w:t>
      </w:r>
      <w:r>
        <w:rPr>
          <w:rFonts w:cs="Calibri" w:hint="eastAsia"/>
          <w:sz w:val="22"/>
          <w:szCs w:val="22"/>
        </w:rPr>
        <w:t xml:space="preserve"> </w:t>
      </w:r>
      <w:r>
        <w:rPr>
          <w:rFonts w:cs="Calibri" w:hint="eastAsia"/>
          <w:sz w:val="22"/>
          <w:szCs w:val="22"/>
        </w:rPr>
        <w:t>聽診腸鳴音是有爭議的。</w:t>
      </w:r>
      <w:r>
        <w:rPr>
          <w:rFonts w:cs="Calibri" w:hint="eastAsia"/>
          <w:sz w:val="22"/>
          <w:szCs w:val="22"/>
        </w:rPr>
        <w:t xml:space="preserve"> </w:t>
      </w:r>
      <w:r>
        <w:rPr>
          <w:rFonts w:cs="Calibri" w:hint="eastAsia"/>
          <w:sz w:val="22"/>
          <w:szCs w:val="22"/>
        </w:rPr>
        <w:t>過去認為，聽到的腸鳴音的數量和質量與腸道的運動性相關。</w:t>
      </w:r>
      <w:r>
        <w:rPr>
          <w:rFonts w:cs="Calibri" w:hint="eastAsia"/>
          <w:sz w:val="22"/>
          <w:szCs w:val="22"/>
        </w:rPr>
        <w:t xml:space="preserve"> </w:t>
      </w:r>
      <w:r>
        <w:rPr>
          <w:rFonts w:cs="Calibri" w:hint="eastAsia"/>
          <w:sz w:val="22"/>
          <w:szCs w:val="22"/>
        </w:rPr>
        <w:t>腸梗阻與每</w:t>
      </w:r>
      <w:r>
        <w:rPr>
          <w:rFonts w:cs="Calibri" w:hint="eastAsia"/>
          <w:sz w:val="22"/>
          <w:szCs w:val="22"/>
        </w:rPr>
        <w:t xml:space="preserve"> 15 </w:t>
      </w:r>
      <w:r>
        <w:rPr>
          <w:rFonts w:cs="Calibri" w:hint="eastAsia"/>
          <w:sz w:val="22"/>
          <w:szCs w:val="22"/>
        </w:rPr>
        <w:t>秒鐘每個象限聽到少於</w:t>
      </w:r>
      <w:r>
        <w:rPr>
          <w:rFonts w:cs="Calibri" w:hint="eastAsia"/>
          <w:sz w:val="22"/>
          <w:szCs w:val="22"/>
        </w:rPr>
        <w:t xml:space="preserve"> 1 </w:t>
      </w:r>
      <w:r>
        <w:rPr>
          <w:rFonts w:cs="Calibri" w:hint="eastAsia"/>
          <w:sz w:val="22"/>
          <w:szCs w:val="22"/>
        </w:rPr>
        <w:t>次腸鳴音有關。</w:t>
      </w:r>
      <w:r>
        <w:rPr>
          <w:rFonts w:cs="Calibri" w:hint="eastAsia"/>
          <w:sz w:val="22"/>
          <w:szCs w:val="22"/>
        </w:rPr>
        <w:t xml:space="preserve"> </w:t>
      </w:r>
      <w:r>
        <w:rPr>
          <w:rFonts w:cs="Calibri" w:hint="eastAsia"/>
          <w:sz w:val="22"/>
          <w:szCs w:val="22"/>
        </w:rPr>
        <w:t>相反，高亢的腸鳴音與機械性腸梗阻有關。</w:t>
      </w:r>
      <w:r>
        <w:rPr>
          <w:rFonts w:cs="Calibri" w:hint="eastAsia"/>
          <w:sz w:val="22"/>
          <w:szCs w:val="22"/>
        </w:rPr>
        <w:t xml:space="preserve"> </w:t>
      </w:r>
      <w:r>
        <w:rPr>
          <w:rFonts w:cs="Calibri" w:hint="eastAsia"/>
          <w:sz w:val="22"/>
          <w:szCs w:val="22"/>
        </w:rPr>
        <w:t>許多人認為，排氣和排便的病史比聽診更能準確地確定患者是否有腸道運動問題。</w:t>
      </w:r>
    </w:p>
    <w:p w:rsidR="00000000" w:rsidRDefault="00892412">
      <w:pPr>
        <w:numPr>
          <w:ilvl w:val="1"/>
          <w:numId w:val="1"/>
        </w:numPr>
        <w:ind w:left="1080"/>
        <w:textAlignment w:val="center"/>
        <w:rPr>
          <w:rFonts w:ascii="Calibri" w:hAnsi="Calibri" w:cs="Calibri"/>
          <w:sz w:val="22"/>
          <w:szCs w:val="22"/>
        </w:rPr>
      </w:pPr>
      <w:r>
        <w:rPr>
          <w:rFonts w:cs="Calibri" w:hint="eastAsia"/>
          <w:sz w:val="22"/>
          <w:szCs w:val="22"/>
        </w:rPr>
        <w:t>叩診可以檢查粗略估計肝臟大小。</w:t>
      </w:r>
      <w:r>
        <w:rPr>
          <w:rFonts w:cs="Calibri" w:hint="eastAsia"/>
          <w:sz w:val="22"/>
          <w:szCs w:val="22"/>
        </w:rPr>
        <w:t xml:space="preserve"> </w:t>
      </w:r>
      <w:r>
        <w:rPr>
          <w:rFonts w:cs="Calibri" w:hint="eastAsia"/>
          <w:sz w:val="22"/>
          <w:szCs w:val="22"/>
        </w:rPr>
        <w:t>叩診有助於確定腹部膨脹是由於空氣過多還是液體過多。</w:t>
      </w:r>
      <w:r>
        <w:rPr>
          <w:rFonts w:cs="Calibri" w:hint="eastAsia"/>
          <w:sz w:val="22"/>
          <w:szCs w:val="22"/>
        </w:rPr>
        <w:t xml:space="preserve"> </w:t>
      </w:r>
      <w:r>
        <w:rPr>
          <w:rFonts w:cs="Calibri" w:hint="eastAsia"/>
          <w:sz w:val="22"/>
          <w:szCs w:val="22"/>
        </w:rPr>
        <w:t>如果在肝臟所在的右上腹聽到鼓音，則表明腹壁和肝臟之間有空氣，應懷疑腹腔內遊離氣體。</w:t>
      </w:r>
      <w:r>
        <w:rPr>
          <w:rFonts w:cs="Calibri" w:hint="eastAsia"/>
          <w:sz w:val="22"/>
          <w:szCs w:val="22"/>
        </w:rPr>
        <w:t xml:space="preserve"> </w:t>
      </w:r>
      <w:r>
        <w:rPr>
          <w:rFonts w:cs="Calibri" w:hint="eastAsia"/>
          <w:sz w:val="22"/>
          <w:szCs w:val="22"/>
        </w:rPr>
        <w:t>瀰漫性濁音提示腹部充滿</w:t>
      </w:r>
      <w:r>
        <w:rPr>
          <w:rFonts w:cs="Calibri" w:hint="eastAsia"/>
          <w:sz w:val="22"/>
          <w:szCs w:val="22"/>
        </w:rPr>
        <w:t>液體。</w:t>
      </w:r>
      <w:r>
        <w:rPr>
          <w:rFonts w:cs="Calibri" w:hint="eastAsia"/>
          <w:sz w:val="22"/>
          <w:szCs w:val="22"/>
        </w:rPr>
        <w:t xml:space="preserve"> </w:t>
      </w:r>
      <w:r>
        <w:rPr>
          <w:rFonts w:cs="Calibri" w:hint="eastAsia"/>
          <w:sz w:val="22"/>
          <w:szCs w:val="22"/>
        </w:rPr>
        <w:t>可以通過快速用力按壓側腹壁來產生液體波；然後，波應該向內側傳播到整個腹壁。</w:t>
      </w:r>
      <w:r>
        <w:rPr>
          <w:rFonts w:cs="Calibri" w:hint="eastAsia"/>
          <w:sz w:val="22"/>
          <w:szCs w:val="22"/>
        </w:rPr>
        <w:t xml:space="preserve">   </w:t>
      </w:r>
    </w:p>
    <w:p w:rsidR="00000000" w:rsidRDefault="00892412">
      <w:pPr>
        <w:numPr>
          <w:ilvl w:val="1"/>
          <w:numId w:val="1"/>
        </w:numPr>
        <w:spacing w:before="120" w:after="120"/>
        <w:ind w:left="1080"/>
        <w:textAlignment w:val="center"/>
        <w:rPr>
          <w:rFonts w:ascii="Calibri" w:hAnsi="Calibri" w:cs="Calibri"/>
          <w:sz w:val="22"/>
          <w:szCs w:val="22"/>
        </w:rPr>
      </w:pPr>
      <w:r>
        <w:rPr>
          <w:rFonts w:cs="Calibri" w:hint="eastAsia"/>
          <w:sz w:val="22"/>
          <w:szCs w:val="22"/>
        </w:rPr>
        <w:t>叩診也有助於識別腹膜炎。</w:t>
      </w:r>
      <w:r>
        <w:rPr>
          <w:rFonts w:cs="Calibri" w:hint="eastAsia"/>
          <w:sz w:val="22"/>
          <w:szCs w:val="22"/>
        </w:rPr>
        <w:t xml:space="preserve"> </w:t>
      </w:r>
      <w:r>
        <w:rPr>
          <w:rFonts w:cs="Calibri" w:hint="eastAsia"/>
          <w:sz w:val="22"/>
          <w:szCs w:val="22"/>
        </w:rPr>
        <w:t>腹膜炎患者在叩診腹部時會有劇烈的壓痛，可能無法承受該操作。</w:t>
      </w:r>
      <w:r>
        <w:rPr>
          <w:rFonts w:cs="Calibri" w:hint="eastAsia"/>
          <w:sz w:val="22"/>
          <w:szCs w:val="22"/>
        </w:rPr>
        <w:t xml:space="preserve"> </w:t>
      </w:r>
      <w:r>
        <w:rPr>
          <w:rFonts w:cs="Calibri" w:hint="eastAsia"/>
          <w:sz w:val="22"/>
          <w:szCs w:val="22"/>
        </w:rPr>
        <w:t>通過叩擊側腹、髂嵴或伸展的下肢的足跟來晃動腹部臟器會引發腹膜炎的典型體徵。</w:t>
      </w:r>
      <w:r>
        <w:rPr>
          <w:rFonts w:cs="Calibri" w:hint="eastAsia"/>
          <w:sz w:val="22"/>
          <w:szCs w:val="22"/>
        </w:rPr>
        <w:t xml:space="preserve"> </w:t>
      </w:r>
      <w:r>
        <w:rPr>
          <w:rFonts w:cs="Calibri" w:hint="eastAsia"/>
          <w:sz w:val="22"/>
          <w:szCs w:val="22"/>
        </w:rPr>
        <w:t>與傳統的深部觸診後快速鬆開壓力並詢問壓力或鬆開哪個更痛相比，這些方法更能可靠地檢測腹膜內壁的炎症。</w:t>
      </w:r>
      <w:r>
        <w:rPr>
          <w:rFonts w:cs="Calibri" w:hint="eastAsia"/>
          <w:sz w:val="22"/>
          <w:szCs w:val="22"/>
        </w:rPr>
        <w:t xml:space="preserve"> </w:t>
      </w:r>
    </w:p>
    <w:p w:rsidR="00000000" w:rsidRDefault="00892412">
      <w:pPr>
        <w:numPr>
          <w:ilvl w:val="1"/>
          <w:numId w:val="1"/>
        </w:numPr>
        <w:spacing w:before="120" w:after="120"/>
        <w:ind w:left="1080"/>
        <w:textAlignment w:val="center"/>
        <w:rPr>
          <w:rFonts w:ascii="Calibri" w:hAnsi="Calibri" w:cs="Calibri"/>
          <w:sz w:val="22"/>
          <w:szCs w:val="22"/>
        </w:rPr>
      </w:pPr>
      <w:r>
        <w:rPr>
          <w:rFonts w:cs="Calibri" w:hint="eastAsia"/>
          <w:sz w:val="22"/>
          <w:szCs w:val="22"/>
        </w:rPr>
        <w:t>腹部檢查的最後一部分是觸診。</w:t>
      </w:r>
      <w:r>
        <w:rPr>
          <w:rFonts w:cs="Calibri" w:hint="eastAsia"/>
          <w:sz w:val="22"/>
          <w:szCs w:val="22"/>
        </w:rPr>
        <w:t xml:space="preserve"> </w:t>
      </w:r>
      <w:r>
        <w:rPr>
          <w:rFonts w:cs="Calibri" w:hint="eastAsia"/>
          <w:sz w:val="22"/>
          <w:szCs w:val="22"/>
        </w:rPr>
        <w:t>通常，這是檢查中最有信息量的一部分。</w:t>
      </w:r>
      <w:r>
        <w:rPr>
          <w:rFonts w:cs="Calibri" w:hint="eastAsia"/>
          <w:sz w:val="22"/>
          <w:szCs w:val="22"/>
        </w:rPr>
        <w:t xml:space="preserve"> </w:t>
      </w:r>
      <w:r>
        <w:rPr>
          <w:rFonts w:cs="Calibri" w:hint="eastAsia"/>
          <w:sz w:val="22"/>
          <w:szCs w:val="22"/>
        </w:rPr>
        <w:t>它提供了有助於您定位疼痛來源以及腹部異常的細節。</w:t>
      </w:r>
      <w:r>
        <w:rPr>
          <w:rFonts w:cs="Calibri" w:hint="eastAsia"/>
          <w:sz w:val="22"/>
          <w:szCs w:val="22"/>
        </w:rPr>
        <w:t xml:space="preserve"> </w:t>
      </w:r>
      <w:r>
        <w:rPr>
          <w:rFonts w:cs="Calibri" w:hint="eastAsia"/>
          <w:sz w:val="22"/>
          <w:szCs w:val="22"/>
        </w:rPr>
        <w:t>檢查者應從遠離疼痛最嚴重區域的淺表觸診開</w:t>
      </w:r>
      <w:r>
        <w:rPr>
          <w:rFonts w:cs="Calibri" w:hint="eastAsia"/>
          <w:sz w:val="22"/>
          <w:szCs w:val="22"/>
        </w:rPr>
        <w:t>始；淺表觸診可以評估腹壁前方的腫塊或液體積聚，以及疼痛是否與這些異常有關。</w:t>
      </w:r>
    </w:p>
    <w:p w:rsidR="00000000" w:rsidRDefault="00892412">
      <w:pPr>
        <w:numPr>
          <w:ilvl w:val="1"/>
          <w:numId w:val="1"/>
        </w:numPr>
        <w:ind w:left="1080"/>
        <w:textAlignment w:val="center"/>
        <w:rPr>
          <w:rFonts w:ascii="Calibri" w:hAnsi="Calibri" w:cs="Calibri"/>
          <w:sz w:val="22"/>
          <w:szCs w:val="22"/>
        </w:rPr>
      </w:pPr>
      <w:r>
        <w:rPr>
          <w:rFonts w:ascii="Calibri" w:hAnsi="Calibri" w:cs="Calibri"/>
          <w:sz w:val="22"/>
          <w:szCs w:val="22"/>
        </w:rPr>
        <w:t> </w:t>
      </w:r>
    </w:p>
    <w:p w:rsidR="00000000" w:rsidRDefault="00892412">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92412">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92412">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圖庫資源</w:t>
      </w:r>
    </w:p>
    <w:p w:rsidR="00000000" w:rsidRDefault="00892412">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15</w:t>
      </w:r>
      <w:r>
        <w:rPr>
          <w:rFonts w:ascii="微軟正黑體" w:eastAsia="微軟正黑體" w:hAnsi="微軟正黑體" w:cs="Calibri" w:hint="eastAsia"/>
          <w:color w:val="767676"/>
          <w:sz w:val="20"/>
          <w:szCs w:val="20"/>
        </w:rPr>
        <w:t>日</w:t>
      </w:r>
    </w:p>
    <w:p w:rsidR="00000000" w:rsidRDefault="00892412">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11:03</w:t>
      </w:r>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Smart servier medical art </w:t>
      </w:r>
      <w:r>
        <w:rPr>
          <w:rFonts w:ascii="微軟正黑體" w:eastAsia="微軟正黑體" w:hAnsi="微軟正黑體" w:cs="Calibri" w:hint="eastAsia"/>
          <w:sz w:val="22"/>
          <w:szCs w:val="22"/>
        </w:rPr>
        <w:t>是</w:t>
      </w:r>
      <w:r>
        <w:rPr>
          <w:rFonts w:ascii="微軟正黑體" w:eastAsia="微軟正黑體" w:hAnsi="微軟正黑體" w:cs="Calibri" w:hint="eastAsia"/>
          <w:sz w:val="22"/>
          <w:szCs w:val="22"/>
        </w:rPr>
        <w:t xml:space="preserve"> CC-BY(</w:t>
      </w:r>
      <w:r>
        <w:rPr>
          <w:rFonts w:ascii="微軟正黑體" w:eastAsia="微軟正黑體" w:hAnsi="微軟正黑體" w:cs="Calibri" w:hint="eastAsia"/>
          <w:sz w:val="22"/>
          <w:szCs w:val="22"/>
        </w:rPr>
        <w:t>註名出處</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小插圖可以用</w:t>
      </w:r>
      <w:r>
        <w:rPr>
          <w:rFonts w:ascii="微軟正黑體" w:eastAsia="微軟正黑體" w:hAnsi="微軟正黑體" w:cs="Calibri" w:hint="eastAsia"/>
          <w:sz w:val="22"/>
          <w:szCs w:val="22"/>
        </w:rPr>
        <w:t xml:space="preserve"> </w:t>
      </w:r>
      <w:hyperlink r:id="rId7" w:history="1">
        <w:r>
          <w:rPr>
            <w:rStyle w:val="a3"/>
            <w:rFonts w:ascii="微軟正黑體" w:eastAsia="微軟正黑體" w:hAnsi="微軟正黑體" w:cs="Calibri" w:hint="eastAsia"/>
            <w:sz w:val="22"/>
            <w:szCs w:val="22"/>
          </w:rPr>
          <w:t>https://smart.servier.com/</w:t>
        </w:r>
      </w:hyperlink>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HEAL </w:t>
      </w:r>
      <w:r>
        <w:rPr>
          <w:rFonts w:ascii="微軟正黑體" w:eastAsia="微軟正黑體" w:hAnsi="微軟正黑體" w:cs="Calibri" w:hint="eastAsia"/>
          <w:sz w:val="22"/>
          <w:szCs w:val="22"/>
        </w:rPr>
        <w:t>大部分都可以商用但要標明出處，有些規定不能更改內容圖像</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要用之前點版權說明</w:t>
      </w:r>
      <w:r>
        <w:rPr>
          <w:rFonts w:ascii="微軟正黑體" w:eastAsia="微軟正黑體" w:hAnsi="微軟正黑體" w:cs="Calibri" w:hint="eastAsia"/>
          <w:sz w:val="22"/>
          <w:szCs w:val="22"/>
        </w:rPr>
        <w:t xml:space="preserve">) </w:t>
      </w:r>
      <w:hyperlink r:id="rId8" w:history="1">
        <w:r>
          <w:rPr>
            <w:rStyle w:val="a3"/>
            <w:rFonts w:ascii="微軟正黑體" w:eastAsia="微軟正黑體" w:hAnsi="微軟正黑體" w:cs="Calibri" w:hint="eastAsia"/>
            <w:sz w:val="22"/>
            <w:szCs w:val="22"/>
          </w:rPr>
          <w:t>https://library.med.utah.edu/heal/</w:t>
        </w:r>
      </w:hyperlink>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美國</w:t>
      </w:r>
      <w:r>
        <w:rPr>
          <w:rFonts w:ascii="微軟正黑體" w:eastAsia="微軟正黑體" w:hAnsi="微軟正黑體" w:cs="Calibri" w:hint="eastAsia"/>
          <w:sz w:val="22"/>
          <w:szCs w:val="22"/>
        </w:rPr>
        <w:t>CDC</w:t>
      </w:r>
      <w:r>
        <w:rPr>
          <w:rFonts w:ascii="微軟正黑體" w:eastAsia="微軟正黑體" w:hAnsi="微軟正黑體" w:cs="Calibri" w:hint="eastAsia"/>
          <w:sz w:val="22"/>
          <w:szCs w:val="22"/>
        </w:rPr>
        <w:t>的公衛圖庫，可以來這邊免費擷取電子顯微鏡的圖</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無版權</w:t>
      </w:r>
      <w:r>
        <w:rPr>
          <w:rFonts w:ascii="微軟正黑體" w:eastAsia="微軟正黑體" w:hAnsi="微軟正黑體" w:cs="Calibri" w:hint="eastAsia"/>
          <w:sz w:val="22"/>
          <w:szCs w:val="22"/>
        </w:rPr>
        <w:t xml:space="preserve">) </w:t>
      </w:r>
      <w:hyperlink r:id="rId9" w:history="1">
        <w:r>
          <w:rPr>
            <w:rStyle w:val="a3"/>
            <w:rFonts w:ascii="微軟正黑體" w:eastAsia="微軟正黑體" w:hAnsi="微軟正黑體" w:cs="Calibri" w:hint="eastAsia"/>
            <w:sz w:val="22"/>
            <w:szCs w:val="22"/>
          </w:rPr>
          <w:t>https://phil.cdc.gov/default.aspx</w:t>
        </w:r>
      </w:hyperlink>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NIH</w:t>
      </w:r>
      <w:r>
        <w:rPr>
          <w:rFonts w:ascii="微軟正黑體" w:eastAsia="微軟正黑體" w:hAnsi="微軟正黑體" w:cs="Calibri" w:hint="eastAsia"/>
          <w:sz w:val="22"/>
          <w:szCs w:val="22"/>
        </w:rPr>
        <w:t>的癌症圖庫</w:t>
      </w:r>
      <w:r>
        <w:rPr>
          <w:rFonts w:ascii="微軟正黑體" w:eastAsia="微軟正黑體" w:hAnsi="微軟正黑體" w:cs="Calibri" w:hint="eastAsia"/>
          <w:sz w:val="22"/>
          <w:szCs w:val="22"/>
        </w:rPr>
        <w:t>https://visualsonline.cancer.gov/</w:t>
      </w:r>
      <w:r>
        <w:rPr>
          <w:rFonts w:ascii="微軟正黑體" w:eastAsia="微軟正黑體" w:hAnsi="微軟正黑體" w:cs="Calibri" w:hint="eastAsia"/>
          <w:sz w:val="22"/>
          <w:szCs w:val="22"/>
        </w:rPr>
        <w:t>，有一些免版權費用，需要註明出處。來源可引用為：美國國家癌症研究所網站（</w:t>
      </w:r>
      <w:r>
        <w:rPr>
          <w:rFonts w:ascii="微軟正黑體" w:eastAsia="微軟正黑體" w:hAnsi="微軟正黑體" w:cs="Calibri" w:hint="eastAsia"/>
          <w:sz w:val="22"/>
          <w:szCs w:val="22"/>
        </w:rPr>
        <w:t>https://www.cancer.gov</w:t>
      </w:r>
      <w:r>
        <w:rPr>
          <w:rFonts w:ascii="微軟正黑體" w:eastAsia="微軟正黑體" w:hAnsi="微軟正黑體" w:cs="Calibri" w:hint="eastAsia"/>
          <w:sz w:val="22"/>
          <w:szCs w:val="22"/>
        </w:rPr>
        <w:t>）。有些需要聯絡原作者</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有提供聯絡方式</w:t>
      </w:r>
      <w:r>
        <w:rPr>
          <w:rFonts w:ascii="微軟正黑體" w:eastAsia="微軟正黑體" w:hAnsi="微軟正黑體" w:cs="Calibri" w:hint="eastAsia"/>
          <w:sz w:val="22"/>
          <w:szCs w:val="22"/>
        </w:rPr>
        <w:t>)</w:t>
      </w:r>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Open I </w:t>
      </w:r>
      <w:hyperlink r:id="rId10" w:history="1">
        <w:r>
          <w:rPr>
            <w:rStyle w:val="a3"/>
            <w:rFonts w:ascii="微軟正黑體" w:eastAsia="微軟正黑體" w:hAnsi="微軟正黑體" w:cs="Calibri" w:hint="eastAsia"/>
            <w:sz w:val="22"/>
            <w:szCs w:val="22"/>
          </w:rPr>
          <w:t>https://openi.nlm.nih.gov/</w:t>
        </w:r>
      </w:hyperlink>
    </w:p>
    <w:p w:rsidR="00000000" w:rsidRDefault="00892412">
      <w:pPr>
        <w:numPr>
          <w:ilvl w:val="2"/>
          <w:numId w:val="2"/>
        </w:numPr>
        <w:ind w:left="958"/>
        <w:textAlignment w:val="center"/>
        <w:rPr>
          <w:rFonts w:ascii="Calibri" w:hAnsi="Calibri" w:cs="Calibri"/>
          <w:sz w:val="22"/>
          <w:szCs w:val="22"/>
        </w:rPr>
      </w:pPr>
      <w:r>
        <w:rPr>
          <w:rFonts w:ascii="微軟正黑體" w:eastAsia="微軟正黑體" w:hAnsi="微軟正黑體" w:cs="Calibri" w:hint="eastAsia"/>
          <w:sz w:val="22"/>
          <w:szCs w:val="22"/>
        </w:rPr>
        <w:t>舉例</w:t>
      </w:r>
      <w:r>
        <w:rPr>
          <w:rFonts w:ascii="微軟正黑體" w:eastAsia="微軟正黑體" w:hAnsi="微軟正黑體" w:cs="Calibri" w:hint="eastAsia"/>
          <w:sz w:val="22"/>
          <w:szCs w:val="22"/>
        </w:rPr>
        <w:t xml:space="preserve">:myoma </w:t>
      </w:r>
      <w:hyperlink r:id="rId11" w:history="1">
        <w:r>
          <w:rPr>
            <w:rStyle w:val="a3"/>
            <w:rFonts w:ascii="微軟正黑體" w:eastAsia="微軟正黑體" w:hAnsi="微軟正黑體" w:cs="Calibri" w:hint="eastAsia"/>
            <w:sz w:val="22"/>
            <w:szCs w:val="22"/>
          </w:rPr>
          <w:t>https://openi.nlm.nih.gov/detailedresult?img=PMC3304276_JGES-1-73-g018&amp;query=myoma&amp;it=xg&amp;req=4&amp;npos=38</w:t>
        </w:r>
      </w:hyperlink>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這個你進去點</w:t>
      </w:r>
      <w:r>
        <w:rPr>
          <w:rFonts w:ascii="微軟正黑體" w:eastAsia="微軟正黑體" w:hAnsi="微軟正黑體" w:cs="Calibri" w:hint="eastAsia"/>
          <w:sz w:val="22"/>
          <w:szCs w:val="22"/>
        </w:rPr>
        <w:t>license</w:t>
      </w:r>
      <w:r>
        <w:rPr>
          <w:rFonts w:ascii="微軟正黑體" w:eastAsia="微軟正黑體" w:hAnsi="微軟正黑體" w:cs="Calibri" w:hint="eastAsia"/>
          <w:sz w:val="22"/>
          <w:szCs w:val="22"/>
        </w:rPr>
        <w:t>會發現是可以商用的</w:t>
      </w:r>
    </w:p>
    <w:p w:rsidR="00000000" w:rsidRDefault="00892412">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WIKI media commons</w:t>
      </w:r>
      <w:r>
        <w:rPr>
          <w:rFonts w:ascii="微軟正黑體" w:eastAsia="微軟正黑體" w:hAnsi="微軟正黑體" w:cs="Calibri" w:hint="eastAsia"/>
          <w:sz w:val="22"/>
          <w:szCs w:val="22"/>
        </w:rPr>
        <w:t>上面大部分都是免版權的圖，超好用</w:t>
      </w:r>
      <w:r>
        <w:rPr>
          <w:rFonts w:ascii="微軟正黑體" w:eastAsia="微軟正黑體" w:hAnsi="微軟正黑體" w:cs="Calibri" w:hint="eastAsia"/>
          <w:sz w:val="22"/>
          <w:szCs w:val="22"/>
        </w:rPr>
        <w:t xml:space="preserve"> </w:t>
      </w:r>
      <w:hyperlink r:id="rId12" w:history="1">
        <w:r>
          <w:rPr>
            <w:rStyle w:val="a3"/>
            <w:rFonts w:ascii="微軟正黑體" w:eastAsia="微軟正黑體" w:hAnsi="微軟正黑體" w:cs="Calibri" w:hint="eastAsia"/>
            <w:sz w:val="22"/>
            <w:szCs w:val="22"/>
          </w:rPr>
          <w:t>https://commons.wikimedia.org/wiki/Category:Medicine</w:t>
        </w:r>
      </w:hyperlink>
    </w:p>
    <w:p w:rsidR="00000000" w:rsidRDefault="00892412">
      <w:pPr>
        <w:pStyle w:val="Web"/>
        <w:spacing w:before="0" w:beforeAutospacing="0" w:after="0" w:afterAutospacing="0"/>
        <w:ind w:left="418"/>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00000" w:rsidRDefault="00892412">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892412">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892412">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p w:rsidR="00000000" w:rsidRDefault="00892412">
      <w:pPr>
        <w:pStyle w:val="Web"/>
        <w:spacing w:before="0" w:beforeAutospacing="0" w:after="0" w:afterAutospacing="0"/>
        <w:ind w:left="418"/>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412" w:rsidRDefault="00892412" w:rsidP="00892412">
      <w:r>
        <w:separator/>
      </w:r>
    </w:p>
  </w:endnote>
  <w:endnote w:type="continuationSeparator" w:id="0">
    <w:p w:rsidR="00892412" w:rsidRDefault="00892412" w:rsidP="0089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412" w:rsidRDefault="00892412" w:rsidP="00892412">
      <w:r>
        <w:separator/>
      </w:r>
    </w:p>
  </w:footnote>
  <w:footnote w:type="continuationSeparator" w:id="0">
    <w:p w:rsidR="00892412" w:rsidRDefault="00892412" w:rsidP="00892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E03E3"/>
    <w:multiLevelType w:val="multilevel"/>
    <w:tmpl w:val="A830E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56CD4"/>
    <w:multiLevelType w:val="multilevel"/>
    <w:tmpl w:val="8B02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2412"/>
    <w:rsid w:val="008924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422A77A-3F32-49A2-A88D-5102F820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892412"/>
    <w:pPr>
      <w:tabs>
        <w:tab w:val="center" w:pos="4153"/>
        <w:tab w:val="right" w:pos="8306"/>
      </w:tabs>
      <w:snapToGrid w:val="0"/>
    </w:pPr>
    <w:rPr>
      <w:sz w:val="20"/>
      <w:szCs w:val="20"/>
    </w:rPr>
  </w:style>
  <w:style w:type="character" w:customStyle="1" w:styleId="a6">
    <w:name w:val="頁首 字元"/>
    <w:basedOn w:val="a0"/>
    <w:link w:val="a5"/>
    <w:uiPriority w:val="99"/>
    <w:rsid w:val="00892412"/>
    <w:rPr>
      <w:rFonts w:ascii="新細明體" w:eastAsia="新細明體" w:hAnsi="新細明體" w:cs="新細明體"/>
    </w:rPr>
  </w:style>
  <w:style w:type="paragraph" w:styleId="a7">
    <w:name w:val="footer"/>
    <w:basedOn w:val="a"/>
    <w:link w:val="a8"/>
    <w:uiPriority w:val="99"/>
    <w:unhideWhenUsed/>
    <w:rsid w:val="00892412"/>
    <w:pPr>
      <w:tabs>
        <w:tab w:val="center" w:pos="4153"/>
        <w:tab w:val="right" w:pos="8306"/>
      </w:tabs>
      <w:snapToGrid w:val="0"/>
    </w:pPr>
    <w:rPr>
      <w:sz w:val="20"/>
      <w:szCs w:val="20"/>
    </w:rPr>
  </w:style>
  <w:style w:type="character" w:customStyle="1" w:styleId="a8">
    <w:name w:val="頁尾 字元"/>
    <w:basedOn w:val="a0"/>
    <w:link w:val="a7"/>
    <w:uiPriority w:val="99"/>
    <w:rsid w:val="00892412"/>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med.utah.edu/he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rt.servier.com/" TargetMode="External"/><Relationship Id="rId12" Type="http://schemas.openxmlformats.org/officeDocument/2006/relationships/hyperlink" Target="https://commons.wikimedia.org/wiki/Category:Medic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nlm.nih.gov/detailedresult?img=PMC3304276_JGES-1-73-g018&amp;query=myoma&amp;it=xg&amp;req=4&amp;npos=38" TargetMode="External"/><Relationship Id="rId5" Type="http://schemas.openxmlformats.org/officeDocument/2006/relationships/footnotes" Target="footnotes.xml"/><Relationship Id="rId10" Type="http://schemas.openxmlformats.org/officeDocument/2006/relationships/hyperlink" Target="https://openi.nlm.nih.gov/" TargetMode="External"/><Relationship Id="rId4" Type="http://schemas.openxmlformats.org/officeDocument/2006/relationships/webSettings" Target="webSettings.xml"/><Relationship Id="rId9" Type="http://schemas.openxmlformats.org/officeDocument/2006/relationships/hyperlink" Target="https://phil.cdc.gov/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許躍薾</dc:creator>
  <cp:keywords/>
  <dc:description/>
  <cp:lastModifiedBy>許躍薾</cp:lastModifiedBy>
  <cp:revision>2</cp:revision>
  <dcterms:created xsi:type="dcterms:W3CDTF">2025-03-09T11:03:00Z</dcterms:created>
  <dcterms:modified xsi:type="dcterms:W3CDTF">2025-03-09T11:03:00Z</dcterms:modified>
</cp:coreProperties>
</file>