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49C" w:rsidRDefault="007C649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ACLS </w:t>
      </w:r>
    </w:p>
    <w:p w:rsidR="007C649C" w:rsidRDefault="007C649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7C649C" w:rsidRDefault="007C649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3:19 PM</w:t>
      </w:r>
    </w:p>
    <w:p w:rsidR="007C649C" w:rsidRDefault="007C64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BLS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叫叫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CAB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呼吸（確認無反應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無呼吸）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撥打急救電話（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檢查脈搏，若無，立即開始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胸外按壓速率：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100-120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深度：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成人至少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，兒童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，嬰兒約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4 cm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壓胸與放鬆時間相等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成人壓吹比：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30:2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，檢查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是否為可電擊心律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則立即電擊，電擊後立即開始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則不可電擊，立刻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 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分鐘，並每兩分鐘檢查心律，直到病人會動或是專業團隊接手。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ACLS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ACLS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Advanced Cardiac Life Support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，高級心臟救命術）主要適用於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成人心搏驟停（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）、無脈搏心律異常（如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PEA, 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）等緊急狀況。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Arrest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指的是心臟突然停止有效泵血，導致血流動力學崩潰（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hemodynamic collapse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），若未即時處置，將迅速導致死亡。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四種常見的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Cardiac Arrest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心律類型：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心室顫動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可電擊心律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心室無組織性顫動，無有效收縮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無心輸出量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快速、雜亂的波動，無明顯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Epinephrine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無脈搏心室頻脈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心室快速規律收縮但無效排血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無脈搏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寬大且規則的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波（通常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&gt;0.12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秒），無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Amiodarone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無脈搏電氣活動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顯示有組織性電氣活動（如正常竇性或緩慢心律），但無有效脈搏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5H &amp; 5T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（如低血容量、低氧、心包填塞、肺栓塞等）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&amp;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Asystole 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心靜止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完全無心臟電氣活動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平直線（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Flatline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等電位直線（注意與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脫落區分）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尋找可逆原因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不可電擊心律</w:t>
      </w:r>
    </w:p>
    <w:p w:rsidR="007C649C" w:rsidRDefault="007C649C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在心搏驟停時的核心流程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確認狀況及求援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評估患者反應（無反應，無正常呼吸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喘息）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啟動急救系統（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emergency response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開始高品質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Chest compression 30:2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，速率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100-120/min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，深度至少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盡快使用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（若可用）</w:t>
      </w:r>
    </w:p>
    <w:p w:rsidR="007C649C" w:rsidRDefault="007C649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供氧與監測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給予氧氣（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Apply Oxygen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Bag-Valve-Mask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BVM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氧氣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若有條件可進行進階氣道（如氣管插管）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連接心律監測（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Attach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Monitor/Defibrillator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Manual Defibrillator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進行心律分析（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分析心律（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Defibrillator/AED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檢查心律，分為兩大類：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</w:rPr>
        <w:t>可電擊心律（</w:t>
      </w:r>
      <w:r>
        <w:rPr>
          <w:rFonts w:ascii="微軟正黑體" w:eastAsia="微軟正黑體" w:hAnsi="微軟正黑體" w:cs="Calibri" w:hint="eastAsia"/>
          <w:color w:val="ED7D31"/>
        </w:rPr>
        <w:t>Shockable Rhythms</w:t>
      </w:r>
      <w:r>
        <w:rPr>
          <w:rFonts w:ascii="微軟正黑體" w:eastAsia="微軟正黑體" w:hAnsi="微軟正黑體" w:cs="Calibri" w:hint="eastAsia"/>
          <w:color w:val="ED7D31"/>
        </w:rPr>
        <w:t>）</w:t>
      </w:r>
    </w:p>
    <w:p w:rsidR="007C649C" w:rsidRDefault="007C649C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7C649C" w:rsidRDefault="007C649C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無脈搏心室頻脈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200J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分鐘，然後重新評估心律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若仍為可電擊心律，給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 300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150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</w:rPr>
        <w:t>不可電擊心律（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Non-shockable Rhythms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）</w:t>
      </w:r>
    </w:p>
    <w:p w:rsidR="007C649C" w:rsidRDefault="007C649C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（心靜止）</w:t>
      </w:r>
    </w:p>
    <w:p w:rsidR="007C649C" w:rsidRDefault="007C649C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無脈搏電氣活動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分鐘，不電擊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</w:p>
    <w:p w:rsidR="007C649C" w:rsidRDefault="007C649C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尋找可逆因素（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&amp; T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可逆因素（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H's &amp; 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在處理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時，應積極尋找並處理可逆因素：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H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5H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（低血容量）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（低氧）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Hydrogen ion (Acidosis)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（酸中毒）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（高鉀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低鉀）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（低溫）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T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5T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（張力性氣胸）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Tamponade (cardiac)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（心臟填塞）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藥物過量，如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opioid, TCA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Thrombosis (pulmonary or coronary)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（肺栓塞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（創傷）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循環恢復（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ROSC, Return of Spontaneous Circulation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若有心跳恢復，進入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Post-Cardiac Arrest Care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SpO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94-99%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mmHg, MAP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若患者無意識，考慮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Targeted Temperature Management (TTM, 32-36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C, 24-48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尋找原發原因（如心導管檢查）</w:t>
      </w:r>
    </w:p>
    <w:p w:rsidR="007C649C" w:rsidRDefault="007C649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持續監測，預防再發作</w:t>
      </w:r>
    </w:p>
    <w:p w:rsidR="007C649C" w:rsidRDefault="007C649C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81500" cy="9686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6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心搏過緩處置流程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確認心搏過緩定義：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50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（但臨床意義取決於症狀與血流狀況）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Poor 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6"/>
        <w:gridCol w:w="2845"/>
      </w:tblGrid>
      <w:tr w:rsidR="00000000">
        <w:trPr>
          <w:divId w:val="405148768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405148768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血流穩定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觀察、持續監測、尋找病因</w:t>
            </w:r>
          </w:p>
        </w:tc>
      </w:tr>
      <w:tr w:rsidR="00000000">
        <w:trPr>
          <w:divId w:val="405148768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血流不穩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進行藥物或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TCP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</w:tr>
    </w:tbl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649C" w:rsidRDefault="007C649C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積極處置（若出現症狀）</w:t>
      </w:r>
    </w:p>
    <w:p w:rsidR="007C649C" w:rsidRDefault="007C649C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藥物治療順序：</w:t>
      </w:r>
    </w:p>
    <w:p w:rsidR="007C649C" w:rsidRDefault="007C649C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Atropine</w:t>
      </w:r>
    </w:p>
    <w:p w:rsidR="007C649C" w:rsidRDefault="007C649C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0.5 mg 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</w:t>
      </w:r>
    </w:p>
    <w:p w:rsidR="007C649C" w:rsidRDefault="007C649C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mg</w:t>
      </w:r>
    </w:p>
    <w:p w:rsidR="007C649C" w:rsidRDefault="007C649C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阻斷迷走神經刺激，增加心率</w:t>
      </w:r>
    </w:p>
    <w:p w:rsidR="007C649C" w:rsidRDefault="007C649C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考慮以下選項：</w:t>
      </w:r>
    </w:p>
    <w:p w:rsidR="007C649C" w:rsidRDefault="007C649C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（多巴胺）</w:t>
      </w:r>
    </w:p>
    <w:p w:rsidR="007C649C" w:rsidRDefault="007C649C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2-20 mcg/kg/min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（依反應調整）</w:t>
      </w:r>
    </w:p>
    <w:p w:rsidR="007C649C" w:rsidRDefault="007C649C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增加心輸出量與心率</w:t>
      </w:r>
    </w:p>
    <w:p w:rsidR="007C649C" w:rsidRDefault="007C649C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（腎上腺素）</w:t>
      </w:r>
    </w:p>
    <w:p w:rsidR="007C649C" w:rsidRDefault="007C649C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2-10 mcg/min IV</w:t>
      </w:r>
    </w:p>
    <w:p w:rsidR="007C649C" w:rsidRDefault="007C649C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正性心肌作用，增加心率與血壓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649C" w:rsidRDefault="007C649C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經皮心臟節律器（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Transcutaneous Pacing, TCP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C649C" w:rsidRDefault="007C649C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適用於：</w:t>
      </w:r>
    </w:p>
    <w:p w:rsidR="007C649C" w:rsidRDefault="007C649C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無效或反應不佳</w:t>
      </w:r>
    </w:p>
    <w:p w:rsidR="007C649C" w:rsidRDefault="007C649C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高度房室傳導阻滯（如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Mobitz II,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完全房室傳導阻滯）</w:t>
      </w:r>
    </w:p>
    <w:p w:rsidR="007C649C" w:rsidRDefault="007C649C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重度症狀或不穩定狀況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649C" w:rsidRDefault="007C649C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繼續管理與考慮病因</w:t>
      </w:r>
    </w:p>
    <w:p w:rsidR="007C649C" w:rsidRDefault="007C649C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糾正可能的可逆原因（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's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&amp; T</w:t>
      </w:r>
      <w:r>
        <w:rPr>
          <w:rFonts w:ascii="Calibri" w:hAnsi="Calibri" w:cs="Calibri"/>
          <w:color w:val="000000"/>
          <w:sz w:val="22"/>
          <w:szCs w:val="22"/>
        </w:rPr>
        <w:t>'s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7C649C" w:rsidRDefault="007C649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</w:p>
    <w:p w:rsidR="007C649C" w:rsidRDefault="007C649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考慮永久性節律器（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）的適應症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ACLS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心博過速處置流程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確認心搏過速定義：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150 bpm</w:t>
      </w:r>
    </w:p>
    <w:p w:rsidR="007C649C" w:rsidRDefault="007C649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7C649C" w:rsidRDefault="007C649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Poor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7C649C" w:rsidRDefault="007C649C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7C649C" w:rsidRDefault="007C649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2"/>
        <w:gridCol w:w="5024"/>
      </w:tblGrid>
      <w:tr w:rsidR="00000000">
        <w:trPr>
          <w:divId w:val="1637682591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1637682591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不穩定（有症狀）</w:t>
            </w:r>
          </w:p>
        </w:tc>
        <w:tc>
          <w:tcPr>
            <w:tcW w:w="5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立即同步電復律（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37682591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穩定（無症狀）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649C" w:rsidRDefault="007C64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根據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波型進行藥物治療</w:t>
            </w:r>
          </w:p>
        </w:tc>
      </w:tr>
    </w:tbl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649C" w:rsidRDefault="007C649C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穩定型心搏過速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藥物處置</w:t>
      </w:r>
    </w:p>
    <w:p w:rsidR="007C649C" w:rsidRDefault="007C649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&lt;0.12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</w:p>
    <w:p w:rsidR="007C649C" w:rsidRDefault="007C649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迷走神經刺激法（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Vagal maneuvers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C649C" w:rsidRDefault="007C649C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Valsalva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maneuver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或冷水刺激</w:t>
      </w:r>
    </w:p>
    <w:p w:rsidR="007C649C" w:rsidRDefault="007C649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（腺苷）：</w:t>
      </w:r>
    </w:p>
    <w:p w:rsidR="007C649C" w:rsidRDefault="007C649C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6 mg IV push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12 mg</w:t>
      </w:r>
    </w:p>
    <w:p w:rsidR="007C649C" w:rsidRDefault="007C649C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快速注射並緊接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 mL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生理食鹽水沖洗</w:t>
      </w:r>
    </w:p>
    <w:p w:rsidR="007C649C" w:rsidRDefault="007C649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考慮：</w:t>
      </w:r>
    </w:p>
    <w:p w:rsidR="007C649C" w:rsidRDefault="007C649C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Metoprolol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C649C" w:rsidRDefault="007C649C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Calcium channel 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Diltiazem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C649C" w:rsidRDefault="007C649C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AFib/AFlutter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使用抗心律不整藥（如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649C" w:rsidRDefault="007C649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VT/VF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with aberrancy</w:t>
      </w:r>
    </w:p>
    <w:p w:rsidR="007C649C" w:rsidRDefault="007C649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Procainamide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C649C" w:rsidRDefault="007C649C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150 mg IV over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分鐘，必要時可再重複</w:t>
      </w:r>
    </w:p>
    <w:p w:rsidR="007C649C" w:rsidRDefault="007C649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若懷疑為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Torsades de Pointes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（多形性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）：</w:t>
      </w:r>
    </w:p>
    <w:p w:rsidR="007C649C" w:rsidRDefault="007C649C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Magnesium sulfate 2 g IV</w:t>
      </w:r>
    </w:p>
    <w:p w:rsidR="007C649C" w:rsidRDefault="007C649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WPW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症候群合併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阻斷藥物（如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CCB, 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若症狀惡化或無效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同步電復律</w:t>
      </w:r>
    </w:p>
    <w:p w:rsidR="007C649C" w:rsidRDefault="007C649C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不穩定型心搏過速：立即同步電擊（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synchronized cardioversion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C649C" w:rsidRDefault="007C649C">
      <w:pPr>
        <w:numPr>
          <w:ilvl w:val="2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適用於以下情況：</w:t>
      </w:r>
    </w:p>
    <w:p w:rsidR="007C649C" w:rsidRDefault="007C649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低血壓、意識改變、胸痛或急性心衰竭</w:t>
      </w:r>
    </w:p>
    <w:p w:rsidR="007C649C" w:rsidRDefault="007C649C">
      <w:pPr>
        <w:numPr>
          <w:ilvl w:val="2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同步電復律劑量建議：</w:t>
      </w:r>
    </w:p>
    <w:p w:rsidR="007C649C" w:rsidRDefault="007C649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50-100 J</w:t>
      </w:r>
    </w:p>
    <w:p w:rsidR="007C649C" w:rsidRDefault="007C649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120-200 J</w:t>
      </w:r>
    </w:p>
    <w:p w:rsidR="007C649C" w:rsidRDefault="007C649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100 J</w:t>
      </w:r>
    </w:p>
    <w:p w:rsidR="007C649C" w:rsidRDefault="007C649C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VF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或多形性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非同步電擊（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C649C" w:rsidRDefault="007C649C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考慮可逆原因（</w:t>
      </w:r>
      <w:r>
        <w:rPr>
          <w:rFonts w:ascii="Calibri" w:hAnsi="Calibri" w:cs="Calibri"/>
          <w:color w:val="000000"/>
          <w:sz w:val="28"/>
          <w:szCs w:val="28"/>
        </w:rPr>
        <w:t>H's &amp;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7C649C" w:rsidRDefault="007C649C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</w:p>
    <w:p w:rsidR="007C649C" w:rsidRDefault="007C649C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34075" cy="46005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7C649C" w:rsidRDefault="007C649C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ACLS&amp;tachycardia</w:t>
      </w:r>
    </w:p>
    <w:p w:rsidR="007C649C" w:rsidRDefault="007C649C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USMLE Step 2 CK</w:t>
      </w:r>
    </w:p>
    <w:p w:rsidR="007C649C" w:rsidRDefault="007C649C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https://cpr.heart.org/en/resuscitation-science/cpr-and-ecc-guidelines/algorithms</w:t>
        </w:r>
      </w:hyperlink>
    </w:p>
    <w:p w:rsidR="007C649C" w:rsidRDefault="007C649C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649C" w:rsidRDefault="007C64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ACLS</w:t>
      </w:r>
      <w:r>
        <w:rPr>
          <w:rFonts w:ascii="Calibri" w:hAnsi="Calibri" w:cs="Calibri"/>
          <w:sz w:val="22"/>
          <w:szCs w:val="22"/>
        </w:rPr>
        <w:t xml:space="preserve"> flowchart</w:t>
      </w:r>
    </w:p>
    <w:p w:rsidR="007C649C" w:rsidRDefault="007C64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649C" w:rsidRDefault="007C64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心博過緩和心博過速</w:t>
      </w:r>
      <w:r>
        <w:rPr>
          <w:rFonts w:ascii="Calibri" w:hAnsi="Calibri" w:cs="Calibri"/>
          <w:sz w:val="22"/>
          <w:szCs w:val="22"/>
        </w:rPr>
        <w:t>flowchart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649C" w:rsidRDefault="007C649C" w:rsidP="007C649C">
      <w:r>
        <w:separator/>
      </w:r>
    </w:p>
  </w:endnote>
  <w:endnote w:type="continuationSeparator" w:id="0">
    <w:p w:rsidR="007C649C" w:rsidRDefault="007C649C" w:rsidP="007C6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649C" w:rsidRDefault="007C649C" w:rsidP="007C649C">
      <w:r>
        <w:separator/>
      </w:r>
    </w:p>
  </w:footnote>
  <w:footnote w:type="continuationSeparator" w:id="0">
    <w:p w:rsidR="007C649C" w:rsidRDefault="007C649C" w:rsidP="007C6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36064"/>
    <w:multiLevelType w:val="multilevel"/>
    <w:tmpl w:val="622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11518">
    <w:abstractNumId w:val="0"/>
  </w:num>
  <w:num w:numId="2" w16cid:durableId="14729888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485540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866660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0836497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0501526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7" w16cid:durableId="14537447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8" w16cid:durableId="17941331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441700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21206386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4357882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3124937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4277784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70829061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6631246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162531314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20655208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8357989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6200361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2110881446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21172692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9C"/>
    <w:rsid w:val="007C649C"/>
    <w:rsid w:val="009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468010-CEA7-4783-A4E6-52FDD4FB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C6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C649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C6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C649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48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2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r.heart.org/en/resuscitation-science/cpr-and-ecc-guidelines/algorith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